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11924" w14:textId="77DDF9AE" w:rsidR="00F41D84" w:rsidRPr="006E02F6" w:rsidRDefault="00F41D84" w:rsidP="00A7008D">
      <w:pPr>
        <w:jc w:val="right"/>
        <w:rPr>
          <w:i/>
        </w:rPr>
      </w:pPr>
      <w:bookmarkStart w:id="0" w:name="_Toc206576736"/>
      <w:bookmarkStart w:id="1" w:name="_Toc208228922"/>
      <w:r w:rsidRPr="006E02F6">
        <w:rPr>
          <w:i/>
        </w:rPr>
        <w:t>5.</w:t>
      </w:r>
      <w:r w:rsidR="00194FCB" w:rsidRPr="006E02F6">
        <w:rPr>
          <w:i/>
        </w:rPr>
        <w:t xml:space="preserve"> </w:t>
      </w:r>
      <w:proofErr w:type="spellStart"/>
      <w:r w:rsidRPr="006E02F6">
        <w:rPr>
          <w:i/>
        </w:rPr>
        <w:t>pielikums</w:t>
      </w:r>
      <w:proofErr w:type="spellEnd"/>
    </w:p>
    <w:p w14:paraId="7B9E6346" w14:textId="55137BFF" w:rsidR="00F41D84" w:rsidRPr="00AD6939" w:rsidRDefault="00F41D84" w:rsidP="009B1F9E">
      <w:pPr>
        <w:pStyle w:val="Heading1"/>
        <w:ind w:left="0"/>
        <w:jc w:val="center"/>
        <w:rPr>
          <w:rFonts w:eastAsia="MS Gothic"/>
          <w:b w:val="0"/>
          <w:bCs w:val="0"/>
          <w:caps/>
          <w:color w:val="C00000"/>
          <w:sz w:val="28"/>
          <w:szCs w:val="28"/>
          <w:lang w:val="lv-LV"/>
        </w:rPr>
      </w:pPr>
      <w:bookmarkStart w:id="2" w:name="_Hlk208935932"/>
      <w:r w:rsidRPr="00AD6939">
        <w:rPr>
          <w:rFonts w:eastAsia="MS Gothic"/>
          <w:caps/>
          <w:color w:val="C00000"/>
          <w:sz w:val="28"/>
          <w:szCs w:val="28"/>
          <w:lang w:val="lv-LV"/>
        </w:rPr>
        <w:t xml:space="preserve">horizontālā principa </w:t>
      </w:r>
      <w:r w:rsidR="00194FCB">
        <w:rPr>
          <w:rFonts w:eastAsia="MS Gothic"/>
          <w:caps/>
          <w:color w:val="C00000"/>
          <w:sz w:val="28"/>
          <w:szCs w:val="28"/>
          <w:lang w:val="lv-LV"/>
        </w:rPr>
        <w:t>“</w:t>
      </w:r>
      <w:r w:rsidRPr="00AD6939">
        <w:rPr>
          <w:rFonts w:eastAsia="MS Gothic"/>
          <w:caps/>
          <w:color w:val="C00000"/>
          <w:sz w:val="28"/>
          <w:szCs w:val="28"/>
          <w:lang w:val="lv-LV"/>
        </w:rPr>
        <w:t>Vienlīdzīgas iespējas” pārkāpumi un neatbilstības</w:t>
      </w:r>
      <w:bookmarkStart w:id="3" w:name="_Toc127619304"/>
      <w:bookmarkEnd w:id="0"/>
      <w:bookmarkEnd w:id="1"/>
    </w:p>
    <w:bookmarkEnd w:id="3"/>
    <w:bookmarkEnd w:id="2"/>
    <w:p w14:paraId="06537589" w14:textId="77777777" w:rsidR="00F41D84" w:rsidRPr="00E80408" w:rsidRDefault="00F41D84" w:rsidP="00A7008D">
      <w:pPr>
        <w:tabs>
          <w:tab w:val="left" w:pos="1093"/>
        </w:tabs>
        <w:ind w:left="0"/>
        <w:rPr>
          <w:rFonts w:eastAsia="Calibri"/>
          <w:color w:val="000000"/>
          <w:lang w:val="lv-LV"/>
        </w:rPr>
      </w:pPr>
    </w:p>
    <w:p w14:paraId="4AD0BB0C" w14:textId="786E6233" w:rsidR="00F41D84" w:rsidRPr="009D1C26" w:rsidRDefault="00F41D84" w:rsidP="00A7008D">
      <w:pPr>
        <w:tabs>
          <w:tab w:val="left" w:pos="1093"/>
        </w:tabs>
        <w:spacing w:before="120"/>
        <w:ind w:left="0"/>
        <w:rPr>
          <w:rFonts w:eastAsia="Calibri"/>
          <w:color w:val="000000"/>
          <w:lang w:val="lv-LV"/>
        </w:rPr>
      </w:pPr>
      <w:r w:rsidRPr="009D1C26">
        <w:rPr>
          <w:rFonts w:eastAsia="Calibri"/>
          <w:color w:val="000000"/>
          <w:lang w:val="lv-LV"/>
        </w:rPr>
        <w:t xml:space="preserve">Informācija par horizontālā principa </w:t>
      </w:r>
      <w:r w:rsidR="00194FCB">
        <w:rPr>
          <w:rFonts w:eastAsia="Calibri"/>
          <w:color w:val="000000"/>
          <w:lang w:val="lv-LV"/>
        </w:rPr>
        <w:t>“</w:t>
      </w:r>
      <w:r w:rsidRPr="009D1C26">
        <w:rPr>
          <w:rFonts w:eastAsia="Calibri"/>
          <w:color w:val="000000"/>
          <w:lang w:val="lv-LV"/>
        </w:rPr>
        <w:t>Vienlīdzīgas iespējas” pārkāpumiem un neatbilstībām tika apkopota par visu plānošanas periodu, t.i.</w:t>
      </w:r>
      <w:r w:rsidR="00194FCB">
        <w:rPr>
          <w:rFonts w:eastAsia="Calibri"/>
          <w:color w:val="000000"/>
          <w:lang w:val="lv-LV"/>
        </w:rPr>
        <w:t>,</w:t>
      </w:r>
      <w:r w:rsidRPr="009D1C26">
        <w:rPr>
          <w:rFonts w:eastAsia="Calibri"/>
          <w:color w:val="000000"/>
          <w:lang w:val="lv-LV"/>
        </w:rPr>
        <w:t xml:space="preserve"> no 2014. gada līdz programmas slēgšanai </w:t>
      </w:r>
      <w:r w:rsidR="00194FCB">
        <w:rPr>
          <w:rFonts w:eastAsia="Calibri"/>
          <w:color w:val="000000"/>
          <w:lang w:val="lv-LV"/>
        </w:rPr>
        <w:t>–</w:t>
      </w:r>
      <w:r w:rsidRPr="009D1C26">
        <w:rPr>
          <w:rFonts w:eastAsia="Calibri"/>
          <w:color w:val="000000"/>
          <w:lang w:val="lv-LV"/>
        </w:rPr>
        <w:t xml:space="preserve"> 2025.</w:t>
      </w:r>
      <w:r w:rsidR="00964144">
        <w:rPr>
          <w:rFonts w:eastAsia="Calibri"/>
          <w:color w:val="000000"/>
          <w:lang w:val="lv-LV"/>
        </w:rPr>
        <w:t> </w:t>
      </w:r>
      <w:r w:rsidRPr="009D1C26">
        <w:rPr>
          <w:rFonts w:eastAsia="Calibri"/>
          <w:color w:val="000000"/>
          <w:lang w:val="lv-LV"/>
        </w:rPr>
        <w:t>gada 30.</w:t>
      </w:r>
      <w:r w:rsidR="00964144">
        <w:rPr>
          <w:rFonts w:eastAsia="Calibri"/>
          <w:color w:val="000000"/>
          <w:lang w:val="lv-LV"/>
        </w:rPr>
        <w:t> </w:t>
      </w:r>
      <w:r w:rsidRPr="009D1C26">
        <w:rPr>
          <w:rFonts w:eastAsia="Calibri"/>
          <w:color w:val="000000"/>
          <w:lang w:val="lv-LV"/>
        </w:rPr>
        <w:t>aprīlim, izmantojot LM informācijas pieprasījumos</w:t>
      </w:r>
      <w:r w:rsidRPr="009D1C26">
        <w:rPr>
          <w:rStyle w:val="FootnoteReference"/>
          <w:rFonts w:eastAsia="Calibri"/>
          <w:color w:val="000000"/>
          <w:lang w:val="lv-LV"/>
        </w:rPr>
        <w:footnoteReference w:id="1"/>
      </w:r>
      <w:r w:rsidRPr="009D1C26">
        <w:rPr>
          <w:rFonts w:eastAsia="Calibri"/>
          <w:color w:val="000000"/>
          <w:lang w:val="lv-LV"/>
        </w:rPr>
        <w:t xml:space="preserve"> iegūto informāciju. </w:t>
      </w:r>
    </w:p>
    <w:p w14:paraId="44A490A1" w14:textId="6C192F74" w:rsidR="00F41D84" w:rsidRPr="005C75AA" w:rsidRDefault="00F41D84" w:rsidP="00A7008D">
      <w:pPr>
        <w:tabs>
          <w:tab w:val="left" w:pos="1093"/>
        </w:tabs>
        <w:spacing w:before="120"/>
        <w:ind w:left="0"/>
        <w:rPr>
          <w:rFonts w:cs="Arial"/>
          <w:lang w:val="lv-LV"/>
        </w:rPr>
      </w:pPr>
      <w:bookmarkStart w:id="4" w:name="_Hlk210121462"/>
      <w:r w:rsidRPr="009D1C26">
        <w:rPr>
          <w:rFonts w:eastAsia="Calibri"/>
          <w:color w:val="000000"/>
          <w:lang w:val="lv-LV"/>
        </w:rPr>
        <w:t>Atbilstoši LM pieprasījumam atbildīgās iestādes (</w:t>
      </w:r>
      <w:r w:rsidRPr="009D1C26">
        <w:rPr>
          <w:rFonts w:eastAsia="Calibri"/>
          <w:lang w:val="lv-LV"/>
        </w:rPr>
        <w:t xml:space="preserve">VK, VARAM, TM, EM) </w:t>
      </w:r>
      <w:r w:rsidRPr="009D1C26">
        <w:rPr>
          <w:rFonts w:eastAsia="Calibri"/>
          <w:color w:val="000000"/>
          <w:lang w:val="lv-LV"/>
        </w:rPr>
        <w:t>un ES fondu Revīzijas iestāde</w:t>
      </w:r>
      <w:r w:rsidRPr="009D1C26">
        <w:rPr>
          <w:rFonts w:eastAsia="Calibri"/>
          <w:lang w:val="lv-LV"/>
        </w:rPr>
        <w:t xml:space="preserve"> </w:t>
      </w:r>
      <w:r w:rsidRPr="009D1C26">
        <w:rPr>
          <w:rFonts w:eastAsia="Calibri" w:cs="Arial"/>
          <w:lang w:val="lv-LV"/>
        </w:rPr>
        <w:t xml:space="preserve">sniedza informāciju, ka nav </w:t>
      </w:r>
      <w:r w:rsidRPr="009D1C26">
        <w:rPr>
          <w:rFonts w:cs="Arial"/>
          <w:lang w:val="lv-LV"/>
        </w:rPr>
        <w:t>saņēmušas sūdzības vai konstatējušas neatbilstības par vienlīdzīgu iespēju un dzimumu līdztiesības principu pārkāpumiem, personu ar invaliditāti tiesību neievērošanu un diskrimināciju, kā arī diskrimināciju vecuma, etniskās piederības un citu faktoru dēļ saistībā ar ES fondu 2014.</w:t>
      </w:r>
      <w:r w:rsidR="00194FCB">
        <w:rPr>
          <w:rFonts w:eastAsia="Calibri"/>
          <w:color w:val="000000"/>
          <w:lang w:val="lv-LV"/>
        </w:rPr>
        <w:t>–</w:t>
      </w:r>
      <w:r w:rsidRPr="009D1C26">
        <w:rPr>
          <w:rFonts w:cs="Arial"/>
          <w:lang w:val="lv-LV"/>
        </w:rPr>
        <w:t>2020.</w:t>
      </w:r>
      <w:r w:rsidR="00194FCB">
        <w:rPr>
          <w:rFonts w:cs="Arial"/>
          <w:lang w:val="lv-LV"/>
        </w:rPr>
        <w:t xml:space="preserve"> </w:t>
      </w:r>
      <w:r w:rsidRPr="009D1C26">
        <w:rPr>
          <w:rFonts w:cs="Arial"/>
          <w:lang w:val="lv-LV"/>
        </w:rPr>
        <w:t>gada plānošanas perioda minēto iestāžu atbildībā esošo specifisko atbalsta mērķu un pasākumu projektiem.</w:t>
      </w:r>
      <w:r w:rsidRPr="009D1C26">
        <w:rPr>
          <w:rFonts w:eastAsia="Calibri"/>
          <w:lang w:val="lv-LV"/>
        </w:rPr>
        <w:t xml:space="preserve"> VM, KM</w:t>
      </w:r>
      <w:r w:rsidR="00194FCB">
        <w:rPr>
          <w:rFonts w:eastAsia="Calibri"/>
          <w:lang w:val="lv-LV"/>
        </w:rPr>
        <w:t xml:space="preserve"> un</w:t>
      </w:r>
      <w:r w:rsidRPr="009D1C26">
        <w:rPr>
          <w:rFonts w:eastAsia="Calibri"/>
          <w:lang w:val="lv-LV"/>
        </w:rPr>
        <w:t xml:space="preserve"> SM</w:t>
      </w:r>
      <w:r w:rsidRPr="009D1C26">
        <w:rPr>
          <w:rFonts w:eastAsia="Calibri" w:cs="Arial"/>
          <w:lang w:val="lv-LV"/>
        </w:rPr>
        <w:t xml:space="preserve">  informāciju nav sniegušas.</w:t>
      </w:r>
    </w:p>
    <w:bookmarkEnd w:id="4"/>
    <w:p w14:paraId="711696CE" w14:textId="6EA0D5D5" w:rsidR="0013693A" w:rsidRDefault="00112B24" w:rsidP="0013693A">
      <w:pPr>
        <w:spacing w:before="120" w:after="160"/>
        <w:rPr>
          <w:rFonts w:cs="Arial"/>
          <w:lang w:val="lv-LV"/>
        </w:rPr>
      </w:pPr>
      <w:r w:rsidRPr="0013693A">
        <w:rPr>
          <w:rFonts w:cs="Arial"/>
          <w:b/>
          <w:lang w:val="lv-LV"/>
        </w:rPr>
        <w:t>CFLA sniedza informāciju, ka v</w:t>
      </w:r>
      <w:r w:rsidR="00F41D84" w:rsidRPr="0013693A">
        <w:rPr>
          <w:rFonts w:cs="Arial"/>
          <w:b/>
          <w:lang w:val="lv-LV"/>
        </w:rPr>
        <w:t>eicot pārbaudes projekta īstenošanas vietās periodā no 2014. gada līdz 2022. gada 25. septembrim, ir konstatējusi 28 atkāpes</w:t>
      </w:r>
      <w:r w:rsidR="00F41D84" w:rsidRPr="0013693A">
        <w:rPr>
          <w:rFonts w:cs="Arial"/>
          <w:lang w:val="lv-LV"/>
        </w:rPr>
        <w:t xml:space="preserve">, kas ir attiecināmas uz HP VI. Savukārt laika periodā no 2022. gada 26. septembra līdz programmas slēgšanai  CFLA ir konstatējusi </w:t>
      </w:r>
      <w:r w:rsidR="00194FCB" w:rsidRPr="0013693A">
        <w:rPr>
          <w:rFonts w:cs="Arial"/>
          <w:lang w:val="lv-LV"/>
        </w:rPr>
        <w:t>vienu</w:t>
      </w:r>
      <w:r w:rsidR="00F41D84" w:rsidRPr="0013693A">
        <w:rPr>
          <w:rFonts w:cs="Arial"/>
          <w:lang w:val="lv-LV"/>
        </w:rPr>
        <w:t xml:space="preserve"> neatbilstību un 10 atkāpes pārbaudēs projektu īstenošanas vietās. Visas CFLA konstatētās atkāpes attiecas uz vides </w:t>
      </w:r>
      <w:proofErr w:type="spellStart"/>
      <w:r w:rsidR="00F41D84" w:rsidRPr="0013693A">
        <w:rPr>
          <w:rFonts w:cs="Arial"/>
          <w:lang w:val="lv-LV"/>
        </w:rPr>
        <w:t>piekļūstamības</w:t>
      </w:r>
      <w:proofErr w:type="spellEnd"/>
      <w:r w:rsidR="00F41D84" w:rsidRPr="0013693A">
        <w:rPr>
          <w:rFonts w:cs="Arial"/>
          <w:lang w:val="lv-LV"/>
        </w:rPr>
        <w:t xml:space="preserve"> aspektiem un tās ir novērstas</w:t>
      </w:r>
      <w:r w:rsidR="00EE229E">
        <w:rPr>
          <w:rFonts w:cs="Arial"/>
          <w:lang w:val="lv-LV"/>
        </w:rPr>
        <w:t>:</w:t>
      </w:r>
      <w:bookmarkStart w:id="5" w:name="_GoBack"/>
      <w:bookmarkEnd w:id="5"/>
      <w:r w:rsidR="00F41D84" w:rsidRPr="0013693A">
        <w:rPr>
          <w:rFonts w:cs="Arial"/>
          <w:lang w:val="lv-LV"/>
        </w:rPr>
        <w:t xml:space="preserve"> </w:t>
      </w:r>
    </w:p>
    <w:p w14:paraId="467A1D96" w14:textId="6BDCB397" w:rsidR="00F41D84" w:rsidRPr="0013693A" w:rsidRDefault="00EE229E" w:rsidP="0013693A">
      <w:pPr>
        <w:pStyle w:val="ListParagraph"/>
        <w:numPr>
          <w:ilvl w:val="0"/>
          <w:numId w:val="2"/>
        </w:numPr>
        <w:spacing w:before="120" w:after="160"/>
        <w:rPr>
          <w:lang w:val="lv-LV"/>
        </w:rPr>
      </w:pPr>
      <w:r>
        <w:rPr>
          <w:rFonts w:cs="Arial"/>
          <w:lang w:val="lv-LV"/>
        </w:rPr>
        <w:t>t</w:t>
      </w:r>
      <w:r w:rsidR="00F41D84" w:rsidRPr="0013693A">
        <w:rPr>
          <w:rFonts w:cs="Arial"/>
          <w:lang w:val="lv-LV"/>
        </w:rPr>
        <w:t xml:space="preserve">ika konstatētas un novērstas atkāpes, kas rada šķēršļus cilvēkiem ar invaliditāti izmantot infrastruktūru tādā mērā, ka netiek ierobežota viņu pārvietošanās iespēja un neatkarība, piemēram: </w:t>
      </w:r>
      <w:r w:rsidR="00F41D84" w:rsidRPr="0013693A">
        <w:rPr>
          <w:lang w:val="lv-LV"/>
        </w:rPr>
        <w:t xml:space="preserve">neatbilstoši ierīkots </w:t>
      </w:r>
      <w:proofErr w:type="spellStart"/>
      <w:r w:rsidR="00F41D84" w:rsidRPr="0013693A">
        <w:rPr>
          <w:lang w:val="lv-LV"/>
        </w:rPr>
        <w:t>domofons</w:t>
      </w:r>
      <w:proofErr w:type="spellEnd"/>
      <w:r w:rsidR="00F41D84" w:rsidRPr="0013693A">
        <w:rPr>
          <w:lang w:val="lv-LV"/>
        </w:rPr>
        <w:t>, kas cilvēkiem ar kustību traucējumiem liedz saziņas iespēju ar  iestādi klātienes apmeklējuma laikā, kā arī durvju ailas un pakāpieni nav izcelti ar kontrastējošu krāsojum</w:t>
      </w:r>
      <w:r w:rsidR="00194FCB" w:rsidRPr="0013693A">
        <w:rPr>
          <w:lang w:val="lv-LV"/>
        </w:rPr>
        <w:t>u</w:t>
      </w:r>
      <w:r w:rsidR="00F41D84" w:rsidRPr="0013693A">
        <w:rPr>
          <w:lang w:val="lv-LV"/>
        </w:rPr>
        <w:t xml:space="preserve"> (projekts Nr. 4.2.2.0/21/A/031);</w:t>
      </w:r>
    </w:p>
    <w:p w14:paraId="55CDE13A" w14:textId="09DAB7C8" w:rsidR="00F41D84" w:rsidRPr="00B86D87" w:rsidRDefault="00F41D84" w:rsidP="003E736B">
      <w:pPr>
        <w:pStyle w:val="ListParagraph"/>
        <w:numPr>
          <w:ilvl w:val="0"/>
          <w:numId w:val="2"/>
        </w:numPr>
        <w:spacing w:after="120" w:line="240" w:lineRule="auto"/>
        <w:ind w:right="57"/>
        <w:rPr>
          <w:rFonts w:cs="Arial"/>
          <w:lang w:val="lv-LV"/>
        </w:rPr>
      </w:pPr>
      <w:r w:rsidRPr="00B86D87">
        <w:rPr>
          <w:rFonts w:cs="Arial"/>
          <w:lang w:val="lv-LV"/>
        </w:rPr>
        <w:t xml:space="preserve">asfaltētās ietves segums ir nestabils un viegli drūpošs, kas rada bažas par drošu piekļūšanu objektam ilgtermiņā, neradot bīstamību klientu un apmeklētāju veselībai. SI pieņēma lēmumu, paredzot ietves segumā arī </w:t>
      </w:r>
      <w:proofErr w:type="spellStart"/>
      <w:r w:rsidRPr="00B86D87">
        <w:rPr>
          <w:rFonts w:cs="Arial"/>
          <w:lang w:val="lv-LV"/>
        </w:rPr>
        <w:t>taktilās</w:t>
      </w:r>
      <w:proofErr w:type="spellEnd"/>
      <w:r w:rsidRPr="00B86D87">
        <w:rPr>
          <w:rFonts w:cs="Arial"/>
          <w:lang w:val="lv-LV"/>
        </w:rPr>
        <w:t xml:space="preserve"> plāksnes, lai nodrošinātu vājredzīgiem un neredzīgiem klientiem/apmeklētājiem vieglu orientēšanos apvidū (projekts Nr. 9.3.1.1/19/I/033);</w:t>
      </w:r>
    </w:p>
    <w:p w14:paraId="564650D3" w14:textId="78A6E2E3" w:rsidR="00F41D84" w:rsidRPr="00B86D87" w:rsidRDefault="00F41D84" w:rsidP="003E736B">
      <w:pPr>
        <w:pStyle w:val="ListParagraph"/>
        <w:numPr>
          <w:ilvl w:val="0"/>
          <w:numId w:val="2"/>
        </w:numPr>
        <w:spacing w:after="120" w:line="240" w:lineRule="auto"/>
        <w:ind w:right="57"/>
        <w:rPr>
          <w:rFonts w:cs="Arial"/>
          <w:lang w:val="lv-LV"/>
        </w:rPr>
      </w:pPr>
      <w:r w:rsidRPr="00B86D87">
        <w:rPr>
          <w:rFonts w:cs="Arial"/>
          <w:lang w:val="lv-LV"/>
        </w:rPr>
        <w:t>konstatēts, ka pacēlāja stiklotās durvis nav marķētas ar kontrastējošu marķējumu atbilstoši LBN 208-15 "Publiskas būves" 45.</w:t>
      </w:r>
      <w:r w:rsidR="00485040">
        <w:rPr>
          <w:rFonts w:cs="Arial"/>
          <w:lang w:val="lv-LV"/>
        </w:rPr>
        <w:t xml:space="preserve"> </w:t>
      </w:r>
      <w:r w:rsidRPr="00B86D87">
        <w:rPr>
          <w:rFonts w:cs="Arial"/>
          <w:lang w:val="lv-LV"/>
        </w:rPr>
        <w:t xml:space="preserve">punkta prasībām, kas rada bažas par drošu pārvietošanos cilvēkiem ar redzes traucējumiem, kā arī ikvienam cilvēkam (projekts Nr. 9.3.1.1/19/I/037); </w:t>
      </w:r>
    </w:p>
    <w:p w14:paraId="629797ED" w14:textId="46C2E855" w:rsidR="00F41D84" w:rsidRPr="00B86D87" w:rsidRDefault="00F41D84" w:rsidP="003E736B">
      <w:pPr>
        <w:pStyle w:val="ListParagraph"/>
        <w:numPr>
          <w:ilvl w:val="0"/>
          <w:numId w:val="2"/>
        </w:numPr>
        <w:spacing w:after="160"/>
        <w:ind w:right="57"/>
        <w:rPr>
          <w:rFonts w:cs="Arial"/>
          <w:lang w:val="lv-LV"/>
        </w:rPr>
      </w:pPr>
      <w:r w:rsidRPr="00B86D87">
        <w:rPr>
          <w:rFonts w:cs="Arial"/>
          <w:lang w:val="lv-LV"/>
        </w:rPr>
        <w:t>pie ēkas nav ierīkota autostāvvieta personām ar īpašām vajadzībām</w:t>
      </w:r>
      <w:r w:rsidR="00485040">
        <w:rPr>
          <w:rFonts w:cs="Arial"/>
          <w:lang w:val="lv-LV"/>
        </w:rPr>
        <w:t>,</w:t>
      </w:r>
      <w:r w:rsidRPr="00B86D87">
        <w:rPr>
          <w:rFonts w:cs="Arial"/>
          <w:lang w:val="lv-LV"/>
        </w:rPr>
        <w:t xml:space="preserve"> kā to nosaka 30.04.2013. MK noteikumu Nr.</w:t>
      </w:r>
      <w:r w:rsidR="00485040">
        <w:rPr>
          <w:rFonts w:cs="Arial"/>
          <w:lang w:val="lv-LV"/>
        </w:rPr>
        <w:t xml:space="preserve"> </w:t>
      </w:r>
      <w:r w:rsidRPr="00B86D87">
        <w:rPr>
          <w:rFonts w:cs="Arial"/>
          <w:lang w:val="lv-LV"/>
        </w:rPr>
        <w:t>240 “Vispārīgie teritorijas plānošanas, izmantošanas un apbūves noteikumi” 203.</w:t>
      </w:r>
      <w:r w:rsidR="00485040">
        <w:rPr>
          <w:rFonts w:cs="Arial"/>
          <w:lang w:val="lv-LV"/>
        </w:rPr>
        <w:t xml:space="preserve"> </w:t>
      </w:r>
      <w:r w:rsidRPr="00B86D87">
        <w:rPr>
          <w:rFonts w:cs="Arial"/>
          <w:lang w:val="lv-LV"/>
        </w:rPr>
        <w:t xml:space="preserve">punkts </w:t>
      </w:r>
      <w:bookmarkStart w:id="6" w:name="_Hlk205388180"/>
      <w:r w:rsidRPr="00B86D87">
        <w:rPr>
          <w:rFonts w:cs="Arial"/>
          <w:lang w:val="lv-LV"/>
        </w:rPr>
        <w:t>(projekts Nr.9.3.1.1/19/I/037);</w:t>
      </w:r>
      <w:bookmarkEnd w:id="6"/>
    </w:p>
    <w:p w14:paraId="6CAC40CD" w14:textId="26C92D5B" w:rsidR="00F41D84" w:rsidRPr="00B86D87" w:rsidRDefault="00F41D84" w:rsidP="003E736B">
      <w:pPr>
        <w:pStyle w:val="ListParagraph"/>
        <w:numPr>
          <w:ilvl w:val="0"/>
          <w:numId w:val="2"/>
        </w:numPr>
        <w:spacing w:after="160"/>
        <w:ind w:right="57"/>
        <w:rPr>
          <w:rFonts w:cs="Arial"/>
          <w:lang w:val="lv-LV"/>
        </w:rPr>
      </w:pPr>
      <w:r w:rsidRPr="00B86D87">
        <w:rPr>
          <w:rFonts w:cs="Arial"/>
          <w:lang w:val="lv-LV"/>
        </w:rPr>
        <w:t xml:space="preserve">nav ievērotas publisko būvju vides </w:t>
      </w:r>
      <w:proofErr w:type="spellStart"/>
      <w:r w:rsidRPr="00B86D87">
        <w:rPr>
          <w:rFonts w:cs="Arial"/>
          <w:lang w:val="lv-LV"/>
        </w:rPr>
        <w:t>pi</w:t>
      </w:r>
      <w:r w:rsidR="00485040">
        <w:rPr>
          <w:rFonts w:cs="Arial"/>
          <w:lang w:val="lv-LV"/>
        </w:rPr>
        <w:t>ekļūstamības</w:t>
      </w:r>
      <w:proofErr w:type="spellEnd"/>
      <w:r w:rsidRPr="00B86D87">
        <w:rPr>
          <w:rFonts w:cs="Arial"/>
          <w:lang w:val="lv-LV"/>
        </w:rPr>
        <w:t xml:space="preserve"> prasības atbilstoši 30.06.2015. MK noteikumu Nr.</w:t>
      </w:r>
      <w:r w:rsidR="00485040">
        <w:rPr>
          <w:rFonts w:cs="Arial"/>
          <w:lang w:val="lv-LV"/>
        </w:rPr>
        <w:t xml:space="preserve"> </w:t>
      </w:r>
      <w:r w:rsidRPr="00B86D87">
        <w:rPr>
          <w:rFonts w:cs="Arial"/>
          <w:lang w:val="lv-LV"/>
        </w:rPr>
        <w:t xml:space="preserve">331 “Noteikumi par Latvijas būvnormatīvu LBN 208-15 "Publiskas būves"” prasībām, tostarp uz kāpņu margām pie pirmā un pēdējā pakāpiena nav iestrādāts </w:t>
      </w:r>
      <w:r w:rsidRPr="00B86D87">
        <w:rPr>
          <w:rFonts w:cs="Arial"/>
          <w:lang w:val="lv-LV"/>
        </w:rPr>
        <w:lastRenderedPageBreak/>
        <w:t xml:space="preserve">stāva numurs </w:t>
      </w:r>
      <w:proofErr w:type="spellStart"/>
      <w:r w:rsidRPr="00B86D87">
        <w:rPr>
          <w:rFonts w:cs="Arial"/>
          <w:lang w:val="lv-LV"/>
        </w:rPr>
        <w:t>taktilā</w:t>
      </w:r>
      <w:proofErr w:type="spellEnd"/>
      <w:r w:rsidRPr="00B86D87">
        <w:rPr>
          <w:rFonts w:cs="Arial"/>
          <w:lang w:val="lv-LV"/>
        </w:rPr>
        <w:t xml:space="preserve"> (sataustāmā) apzīmējuma vai numura </w:t>
      </w:r>
      <w:proofErr w:type="spellStart"/>
      <w:r w:rsidRPr="00B86D87">
        <w:rPr>
          <w:rFonts w:cs="Arial"/>
          <w:lang w:val="lv-LV"/>
        </w:rPr>
        <w:t>Braila</w:t>
      </w:r>
      <w:proofErr w:type="spellEnd"/>
      <w:r w:rsidRPr="00B86D87">
        <w:rPr>
          <w:rFonts w:cs="Arial"/>
          <w:lang w:val="lv-LV"/>
        </w:rPr>
        <w:t xml:space="preserve"> raksta veidā; nav marķētas līmeņu maiņas, kā arī kāpņu pirmais un pēdējais pakāpiens (projekts Nr.9.3.1.1/19/I/037).</w:t>
      </w:r>
    </w:p>
    <w:p w14:paraId="273EF348" w14:textId="77777777" w:rsidR="00F41D84" w:rsidRPr="00B86D87" w:rsidRDefault="00F41D84" w:rsidP="00A7008D">
      <w:pPr>
        <w:spacing w:after="160"/>
        <w:ind w:left="0"/>
        <w:rPr>
          <w:rFonts w:cs="Arial"/>
          <w:lang w:val="lv-LV"/>
        </w:rPr>
      </w:pPr>
      <w:bookmarkStart w:id="7" w:name="_Hlk210122496"/>
      <w:r w:rsidRPr="00B86D87">
        <w:rPr>
          <w:rFonts w:cs="Arial"/>
          <w:lang w:val="lv-LV"/>
        </w:rPr>
        <w:t xml:space="preserve">Pārskata periodā CFLA konstatēja </w:t>
      </w:r>
      <w:r w:rsidRPr="00B86D87">
        <w:rPr>
          <w:rFonts w:cs="Arial"/>
          <w:b/>
          <w:bCs/>
          <w:lang w:val="lv-LV"/>
        </w:rPr>
        <w:t>vienu neatbilstību</w:t>
      </w:r>
      <w:r w:rsidRPr="00B86D87">
        <w:rPr>
          <w:rFonts w:cs="Arial"/>
          <w:lang w:val="lv-LV"/>
        </w:rPr>
        <w:t xml:space="preserve">, </w:t>
      </w:r>
      <w:r w:rsidRPr="00B86D87">
        <w:rPr>
          <w:rFonts w:cs="Arial"/>
          <w:b/>
          <w:bCs/>
          <w:lang w:val="lv-LV"/>
        </w:rPr>
        <w:t>kas ir attiecināma uz horizontālo principu</w:t>
      </w:r>
      <w:r w:rsidRPr="008C55E5">
        <w:rPr>
          <w:rFonts w:cs="Arial"/>
          <w:b/>
          <w:lang w:val="lv-LV"/>
        </w:rPr>
        <w:t>:</w:t>
      </w:r>
      <w:r w:rsidRPr="00B86D87">
        <w:rPr>
          <w:rFonts w:cs="Arial"/>
          <w:lang w:val="lv-LV"/>
        </w:rPr>
        <w:t xml:space="preserve"> </w:t>
      </w:r>
    </w:p>
    <w:bookmarkEnd w:id="7"/>
    <w:p w14:paraId="3507DFE8" w14:textId="6C4CD1D0" w:rsidR="00F41D84" w:rsidRPr="00B86D87" w:rsidRDefault="00F41D84" w:rsidP="00A7008D">
      <w:pPr>
        <w:pStyle w:val="ListParagraph"/>
        <w:spacing w:after="160"/>
        <w:ind w:left="0" w:right="57"/>
        <w:rPr>
          <w:rFonts w:cs="Arial"/>
          <w:lang w:val="lv-LV"/>
        </w:rPr>
      </w:pPr>
      <w:r w:rsidRPr="00B86D87">
        <w:rPr>
          <w:rFonts w:cs="Arial"/>
          <w:lang w:val="lv-LV"/>
        </w:rPr>
        <w:t>Projektā Nr.</w:t>
      </w:r>
      <w:r w:rsidR="00485040">
        <w:rPr>
          <w:rFonts w:cs="Arial"/>
          <w:lang w:val="lv-LV"/>
        </w:rPr>
        <w:t xml:space="preserve"> </w:t>
      </w:r>
      <w:r w:rsidRPr="00B86D87">
        <w:rPr>
          <w:rFonts w:cs="Arial"/>
          <w:lang w:val="lv-LV"/>
        </w:rPr>
        <w:t>2.2.1.1/21/I/003 “Kadastra informācijas sistēmas modernizācija un datu pakalpojumu attīstība” tika konstatēts, ka FS nav izpildījis plānotās darbības, kas projektā ir vērstas uz horizontālā principa “Vienlīdzīgas iespējas” ievērošanu, par kuru projekta iesnieguma vērtēšanā piešķirts papildu punkts, tādējādi pārkāpjot vienošan</w:t>
      </w:r>
      <w:r w:rsidR="005F6DEA">
        <w:rPr>
          <w:rFonts w:cs="Arial"/>
          <w:lang w:val="lv-LV"/>
        </w:rPr>
        <w:t>o</w:t>
      </w:r>
      <w:r w:rsidRPr="00B86D87">
        <w:rPr>
          <w:rFonts w:cs="Arial"/>
          <w:lang w:val="lv-LV"/>
        </w:rPr>
        <w:t>s par projekta īstenošanu. FS tika piemērota finanšu korekcija 5</w:t>
      </w:r>
      <w:r w:rsidR="00485040">
        <w:rPr>
          <w:rFonts w:cs="Arial"/>
          <w:lang w:val="lv-LV"/>
        </w:rPr>
        <w:t> </w:t>
      </w:r>
      <w:r w:rsidRPr="00B86D87">
        <w:rPr>
          <w:rFonts w:cs="Arial"/>
          <w:lang w:val="lv-LV"/>
        </w:rPr>
        <w:t xml:space="preserve">% apmērā no projekta apjoma, kas ir noteikts no proporcionāli piešķirtā punktu skaita projekta vērtēšanā pret kopējo piešķirto punktu skaitu. </w:t>
      </w:r>
      <w:bookmarkStart w:id="8" w:name="_Hlk210123072"/>
      <w:r w:rsidRPr="00B86D87">
        <w:rPr>
          <w:rFonts w:cs="Arial"/>
          <w:lang w:val="lv-LV"/>
        </w:rPr>
        <w:t>FS nebija pilnībā nodrošinājis izstrādātā e-pakalpojuma piekļūstamības prasības, kas ir krietni plašāks aktivitāšu kopums par pārlūkprogrammā pieejamajiem atsevišķiem tehniskiem risinājumiem (kontrasts, burtu izmērs u.</w:t>
      </w:r>
      <w:r w:rsidR="00485040">
        <w:rPr>
          <w:rFonts w:cs="Arial"/>
          <w:lang w:val="lv-LV"/>
        </w:rPr>
        <w:t xml:space="preserve"> </w:t>
      </w:r>
      <w:r w:rsidRPr="00B86D87">
        <w:rPr>
          <w:rFonts w:cs="Arial"/>
          <w:lang w:val="lv-LV"/>
        </w:rPr>
        <w:t>c.).</w:t>
      </w:r>
    </w:p>
    <w:bookmarkEnd w:id="8"/>
    <w:p w14:paraId="0A259D74" w14:textId="281246C3" w:rsidR="00F41D84" w:rsidRPr="00B86D87" w:rsidRDefault="00F41D84" w:rsidP="00A7008D">
      <w:pPr>
        <w:spacing w:before="120"/>
        <w:ind w:left="0"/>
        <w:rPr>
          <w:rFonts w:cs="Arial"/>
          <w:lang w:val="lv-LV"/>
        </w:rPr>
      </w:pPr>
      <w:r w:rsidRPr="00B86D87">
        <w:rPr>
          <w:rFonts w:cs="Arial"/>
          <w:b/>
          <w:bCs/>
          <w:lang w:val="lv-LV"/>
        </w:rPr>
        <w:t>FM un IZM</w:t>
      </w:r>
      <w:r w:rsidRPr="00B86D87">
        <w:rPr>
          <w:rFonts w:cs="Arial"/>
          <w:lang w:val="lv-LV"/>
        </w:rPr>
        <w:t xml:space="preserve"> sniedza informāciju par </w:t>
      </w:r>
      <w:r w:rsidRPr="00EE33BB">
        <w:rPr>
          <w:rFonts w:cs="Arial"/>
          <w:b/>
          <w:lang w:val="lv-LV"/>
        </w:rPr>
        <w:t>iespējamiem horizontālā principa “Vienlīdzīgas iespējas”</w:t>
      </w:r>
      <w:r w:rsidRPr="00B86D87">
        <w:rPr>
          <w:rFonts w:cs="Arial"/>
          <w:lang w:val="lv-LV"/>
        </w:rPr>
        <w:t xml:space="preserve"> </w:t>
      </w:r>
      <w:r w:rsidRPr="00B05DA5">
        <w:rPr>
          <w:rFonts w:cs="Arial"/>
          <w:b/>
          <w:lang w:val="lv-LV"/>
        </w:rPr>
        <w:t xml:space="preserve">pārkāpumiem </w:t>
      </w:r>
      <w:r>
        <w:rPr>
          <w:rFonts w:cs="Arial"/>
          <w:lang w:val="lv-LV"/>
        </w:rPr>
        <w:t>pārskata</w:t>
      </w:r>
      <w:r w:rsidRPr="00B86D87">
        <w:rPr>
          <w:rFonts w:cs="Arial"/>
          <w:lang w:val="lv-LV"/>
        </w:rPr>
        <w:t xml:space="preserve"> periodā. Izvērtēšanas rezultātā tika identificēts Smiltenes novada pašvaldības projekts (projekts Nr. 8.1.2.0/17/I/034 “Mācību vides uzlabošana Smiltenes vidusskolā”), kurā risināts </w:t>
      </w:r>
      <w:proofErr w:type="spellStart"/>
      <w:r w:rsidRPr="00B86D87">
        <w:rPr>
          <w:rFonts w:cs="Arial"/>
          <w:lang w:val="lv-LV"/>
        </w:rPr>
        <w:t>problēmjautājums</w:t>
      </w:r>
      <w:proofErr w:type="spellEnd"/>
      <w:r w:rsidRPr="00B86D87">
        <w:rPr>
          <w:rFonts w:cs="Arial"/>
          <w:lang w:val="lv-LV"/>
        </w:rPr>
        <w:t xml:space="preserve">, kam ir saistība ar </w:t>
      </w:r>
      <w:r>
        <w:rPr>
          <w:rFonts w:cs="Arial"/>
          <w:lang w:val="lv-LV"/>
        </w:rPr>
        <w:t>HP VI</w:t>
      </w:r>
      <w:r w:rsidRPr="00B86D87">
        <w:rPr>
          <w:rFonts w:cs="Arial"/>
          <w:lang w:val="lv-LV"/>
        </w:rPr>
        <w:t xml:space="preserve"> neievērošanu</w:t>
      </w:r>
      <w:r w:rsidR="00485040">
        <w:rPr>
          <w:rFonts w:cs="Arial"/>
          <w:lang w:val="lv-LV"/>
        </w:rPr>
        <w:t>.</w:t>
      </w:r>
    </w:p>
    <w:p w14:paraId="60161A45" w14:textId="60316361" w:rsidR="00F41D84" w:rsidRPr="00B86D87" w:rsidRDefault="00F41D84" w:rsidP="00A7008D">
      <w:pPr>
        <w:spacing w:before="120"/>
        <w:ind w:left="0"/>
        <w:rPr>
          <w:rFonts w:cs="Arial"/>
          <w:lang w:val="lv-LV"/>
        </w:rPr>
      </w:pPr>
      <w:r w:rsidRPr="00B86D87">
        <w:rPr>
          <w:rFonts w:cs="Arial"/>
          <w:lang w:val="lv-LV"/>
        </w:rPr>
        <w:t xml:space="preserve">1) 2023. gada martā no Eiropas Komisijas Reģionālās un </w:t>
      </w:r>
      <w:proofErr w:type="spellStart"/>
      <w:r w:rsidRPr="00B86D87">
        <w:rPr>
          <w:rFonts w:cs="Arial"/>
          <w:lang w:val="lv-LV"/>
        </w:rPr>
        <w:t>pilsētpolitikas</w:t>
      </w:r>
      <w:proofErr w:type="spellEnd"/>
      <w:r w:rsidRPr="00B86D87">
        <w:rPr>
          <w:rFonts w:cs="Arial"/>
          <w:lang w:val="lv-LV"/>
        </w:rPr>
        <w:t xml:space="preserve"> ģenerāldirektorāta (turpmāk – EK REGIO) tika saņemts pieprasījums  par Latvijas Republikas tiesībsarga sūdzību Eiropas Komisijā par iespējamu vides pieejamības neatbilstību personām ar kustību traucējumiem, tostarp attiecībā uz nepietiekamu piekļuvi dienesta viesnīcas/internāta ēkas augšējiem stāviem</w:t>
      </w:r>
      <w:r w:rsidR="00B243FF">
        <w:rPr>
          <w:rFonts w:cs="Arial"/>
          <w:lang w:val="lv-LV"/>
        </w:rPr>
        <w:t>;</w:t>
      </w:r>
      <w:r w:rsidRPr="00B86D87">
        <w:rPr>
          <w:rFonts w:cs="Arial"/>
          <w:lang w:val="lv-LV"/>
        </w:rPr>
        <w:t xml:space="preserve"> </w:t>
      </w:r>
    </w:p>
    <w:p w14:paraId="4AFAAC92" w14:textId="11882FB8" w:rsidR="00F41D84" w:rsidRPr="00B86D87" w:rsidRDefault="00F41D84" w:rsidP="00A7008D">
      <w:pPr>
        <w:ind w:left="0"/>
        <w:rPr>
          <w:rFonts w:cs="Arial"/>
          <w:lang w:val="lv-LV"/>
        </w:rPr>
      </w:pPr>
      <w:r w:rsidRPr="00B86D87">
        <w:rPr>
          <w:rFonts w:cs="Arial"/>
          <w:lang w:val="lv-LV"/>
        </w:rPr>
        <w:t xml:space="preserve">2) Latvijas Republikas tiesībsargam tika sniegta atbilde ar Smiltenes novada pašvaldības (turpmāk </w:t>
      </w:r>
      <w:r w:rsidR="00485040">
        <w:rPr>
          <w:rFonts w:cs="Arial"/>
          <w:lang w:val="lv-LV"/>
        </w:rPr>
        <w:t xml:space="preserve">tekstā </w:t>
      </w:r>
      <w:r w:rsidRPr="00B86D87">
        <w:rPr>
          <w:rFonts w:cs="Arial"/>
          <w:lang w:val="lv-LV"/>
        </w:rPr>
        <w:t>– Pašvaldība) skaidrojumu, ka internāts ir piemērots patstāvīgai lietošanai personām ar invaliditāti, jo visas telpas (mācību klases, atpūtas telpas, dzīvojamās istabas, sanitāri tehniskās telpas) personām ar kustību traucējumiem ir organizētas ēkas 1. stāvā</w:t>
      </w:r>
      <w:r w:rsidR="00485040">
        <w:rPr>
          <w:rFonts w:cs="Arial"/>
          <w:lang w:val="lv-LV"/>
        </w:rPr>
        <w:t>,</w:t>
      </w:r>
      <w:r w:rsidRPr="00B86D87">
        <w:rPr>
          <w:rFonts w:cs="Arial"/>
          <w:lang w:val="lv-LV"/>
        </w:rPr>
        <w:t xml:space="preserve"> un ka  Pašvaldība piesaistīja ekspertu un Latvijas Cilvēku ar īpašām vajadzībām sadarbības organizāciju  “SUSTENTO” (turpmāk </w:t>
      </w:r>
      <w:r w:rsidR="00485040">
        <w:rPr>
          <w:rFonts w:cs="Arial"/>
          <w:lang w:val="lv-LV"/>
        </w:rPr>
        <w:t xml:space="preserve">tekstā </w:t>
      </w:r>
      <w:r w:rsidRPr="00B86D87">
        <w:rPr>
          <w:rFonts w:cs="Arial"/>
          <w:lang w:val="lv-LV"/>
        </w:rPr>
        <w:t>– organizācija “SUSTENTO”), lai kopīgi izvērtētu, vai internātā nav iespējams ierīkot citu risinājumu, kas būtu piemērots personām ar invaliditāti patstāvīgai lietošanai</w:t>
      </w:r>
      <w:r w:rsidR="00B243FF">
        <w:rPr>
          <w:rFonts w:cs="Arial"/>
          <w:lang w:val="lv-LV"/>
        </w:rPr>
        <w:t>;</w:t>
      </w:r>
    </w:p>
    <w:p w14:paraId="0DBB3F46" w14:textId="4EEA7CD8" w:rsidR="00F41D84" w:rsidRPr="00B86D87" w:rsidRDefault="00F41D84" w:rsidP="00A7008D">
      <w:pPr>
        <w:ind w:left="0"/>
        <w:rPr>
          <w:rFonts w:cs="Arial"/>
          <w:lang w:val="lv-LV"/>
        </w:rPr>
      </w:pPr>
      <w:r w:rsidRPr="00B86D87">
        <w:rPr>
          <w:rFonts w:cs="Arial"/>
          <w:lang w:val="lv-LV"/>
        </w:rPr>
        <w:t xml:space="preserve">3) CFLA, izvērtējot tās rīcībā esošo informāciju un ņemot vērā, ka nav saņemtas </w:t>
      </w:r>
      <w:r w:rsidR="00485040">
        <w:rPr>
          <w:rFonts w:cs="Arial"/>
          <w:lang w:val="lv-LV"/>
        </w:rPr>
        <w:t xml:space="preserve">nedz </w:t>
      </w:r>
      <w:r w:rsidRPr="00B86D87">
        <w:rPr>
          <w:rFonts w:cs="Arial"/>
          <w:lang w:val="lv-LV"/>
        </w:rPr>
        <w:t xml:space="preserve">sūdzības no audzēkņiem vai citām personām, kuras izmanto vai vēlētos izmantot dienesta viesnīcu, nedz kādas citas sūdzības, kā arī Pašvaldība ir veikusi uzlabojumus atbilstoši organizācijas “SUSTENTO” ieteikumiem, secināja, ka normatīvo aktu prasību pārkāpumi nav identificēti, attiecīgi 2023. gada 3. maijā VI no CFLA saņemto informāciju pārsūtīja EK REGIO;  </w:t>
      </w:r>
    </w:p>
    <w:p w14:paraId="637718EC" w14:textId="77777777" w:rsidR="00F41D84" w:rsidRPr="00B86D87" w:rsidRDefault="00F41D84" w:rsidP="00A7008D">
      <w:pPr>
        <w:spacing w:before="120"/>
        <w:ind w:left="0"/>
        <w:rPr>
          <w:rFonts w:cs="Arial"/>
          <w:lang w:val="lv-LV"/>
        </w:rPr>
      </w:pPr>
      <w:r w:rsidRPr="00B86D87">
        <w:rPr>
          <w:rFonts w:cs="Arial"/>
          <w:lang w:val="lv-LV"/>
        </w:rPr>
        <w:t>4) EK REGIO 2024. gada 20. septembrī informēja VI, ka no Komisijas puses sūdzības izskatīšana ir noslēgta, jo nav konstatēts pietiekams pamats pārkāpuma procedūras ierosināšanai pret Latviju.</w:t>
      </w:r>
    </w:p>
    <w:p w14:paraId="6B041449" w14:textId="5E58090E" w:rsidR="00F41D84" w:rsidRPr="00B86D87" w:rsidRDefault="00F41D84" w:rsidP="00A7008D">
      <w:pPr>
        <w:tabs>
          <w:tab w:val="center" w:pos="709"/>
          <w:tab w:val="center" w:pos="4680"/>
          <w:tab w:val="right" w:pos="9360"/>
        </w:tabs>
        <w:spacing w:before="120"/>
        <w:ind w:left="0"/>
        <w:rPr>
          <w:rFonts w:eastAsia="Calibri" w:cs="Arial"/>
          <w:color w:val="000000"/>
          <w:lang w:val="lv-LV"/>
        </w:rPr>
      </w:pPr>
      <w:proofErr w:type="spellStart"/>
      <w:r w:rsidRPr="00B86D87">
        <w:rPr>
          <w:rFonts w:cs="Arial"/>
          <w:b/>
          <w:bCs/>
          <w:color w:val="000000"/>
          <w:lang w:val="lv-LV"/>
        </w:rPr>
        <w:t>T</w:t>
      </w:r>
      <w:r w:rsidRPr="00B86D87">
        <w:rPr>
          <w:rFonts w:eastAsia="Calibri" w:cs="Arial"/>
          <w:b/>
          <w:bCs/>
          <w:color w:val="000000"/>
          <w:lang w:val="lv-LV"/>
        </w:rPr>
        <w:t>iesībsarga</w:t>
      </w:r>
      <w:proofErr w:type="spellEnd"/>
      <w:r w:rsidRPr="00B86D87">
        <w:rPr>
          <w:rFonts w:eastAsia="Calibri" w:cs="Arial"/>
          <w:b/>
          <w:bCs/>
          <w:color w:val="000000"/>
          <w:lang w:val="lv-LV"/>
        </w:rPr>
        <w:t xml:space="preserve"> birojs</w:t>
      </w:r>
      <w:r w:rsidRPr="00B86D87">
        <w:rPr>
          <w:rFonts w:eastAsia="Calibri" w:cs="Arial"/>
          <w:color w:val="000000"/>
          <w:lang w:val="lv-LV"/>
        </w:rPr>
        <w:t xml:space="preserve"> sniedza informāciju par pārbaudes lietām, kuras ir attiecināmas uz </w:t>
      </w:r>
      <w:r>
        <w:rPr>
          <w:rFonts w:eastAsia="Calibri" w:cs="Arial"/>
          <w:color w:val="000000"/>
          <w:lang w:val="lv-LV"/>
        </w:rPr>
        <w:t>2014.–2020. g</w:t>
      </w:r>
      <w:r w:rsidR="00485040">
        <w:rPr>
          <w:rFonts w:eastAsia="Calibri" w:cs="Arial"/>
          <w:color w:val="000000"/>
          <w:lang w:val="lv-LV"/>
        </w:rPr>
        <w:t>ada</w:t>
      </w:r>
      <w:r w:rsidRPr="00B86D87">
        <w:rPr>
          <w:rFonts w:eastAsia="Calibri" w:cs="Arial"/>
          <w:color w:val="000000"/>
          <w:lang w:val="lv-LV"/>
        </w:rPr>
        <w:t xml:space="preserve"> periodā īstenotajiem ES fondu projektiem</w:t>
      </w:r>
      <w:r w:rsidR="00112B24">
        <w:rPr>
          <w:rFonts w:eastAsia="Calibri" w:cs="Arial"/>
          <w:color w:val="000000"/>
          <w:lang w:val="lv-LV"/>
        </w:rPr>
        <w:t>:</w:t>
      </w:r>
    </w:p>
    <w:p w14:paraId="168B2CB5" w14:textId="77777777" w:rsidR="00F41D84" w:rsidRPr="007641AD" w:rsidRDefault="00F41D84" w:rsidP="00A7008D">
      <w:pPr>
        <w:spacing w:before="240" w:line="360" w:lineRule="auto"/>
        <w:ind w:left="0"/>
        <w:rPr>
          <w:rFonts w:eastAsia="Calibri"/>
          <w:b/>
          <w:bCs/>
          <w:lang w:val="lv-LV"/>
        </w:rPr>
      </w:pPr>
      <w:bookmarkStart w:id="9" w:name="_Hlk210122192"/>
      <w:r w:rsidRPr="007641AD">
        <w:rPr>
          <w:b/>
          <w:bCs/>
          <w:lang w:val="lv-LV"/>
        </w:rPr>
        <w:t>Pārbaudes lieta Nr. 2022-55-26D</w:t>
      </w:r>
      <w:r w:rsidRPr="007641AD">
        <w:rPr>
          <w:b/>
          <w:bCs/>
          <w:vertAlign w:val="superscript"/>
          <w:lang w:val="lv-LV"/>
        </w:rPr>
        <w:footnoteReference w:id="2"/>
      </w:r>
      <w:r w:rsidRPr="007641AD">
        <w:rPr>
          <w:b/>
          <w:bCs/>
          <w:lang w:val="lv-LV"/>
        </w:rPr>
        <w:t xml:space="preserve"> </w:t>
      </w:r>
    </w:p>
    <w:p w14:paraId="743EDCB7" w14:textId="7324ACE1" w:rsidR="00F41D84" w:rsidRPr="00B86D87" w:rsidRDefault="00F41D84" w:rsidP="00A7008D">
      <w:pPr>
        <w:tabs>
          <w:tab w:val="center" w:pos="709"/>
          <w:tab w:val="center" w:pos="4680"/>
          <w:tab w:val="right" w:pos="9360"/>
        </w:tabs>
        <w:spacing w:line="276" w:lineRule="auto"/>
        <w:ind w:left="0"/>
        <w:rPr>
          <w:rFonts w:eastAsia="Calibri" w:cs="Arial"/>
          <w:lang w:val="lv-LV"/>
        </w:rPr>
      </w:pPr>
      <w:r w:rsidRPr="00B86D87">
        <w:rPr>
          <w:rFonts w:eastAsia="Calibri" w:cs="Arial"/>
          <w:lang w:val="lv-LV"/>
        </w:rPr>
        <w:lastRenderedPageBreak/>
        <w:t xml:space="preserve">Tiesībsargs pārbaudes lietā, kas tika uzsākta pēc personas iesnieguma, konstatēja, ka ES struktūrfondu ieviešanā </w:t>
      </w:r>
      <w:proofErr w:type="spellStart"/>
      <w:r w:rsidRPr="00B86D87">
        <w:rPr>
          <w:rFonts w:eastAsia="Calibri" w:cs="Arial"/>
          <w:lang w:val="lv-LV"/>
        </w:rPr>
        <w:t>pēcdoktorantūras</w:t>
      </w:r>
      <w:proofErr w:type="spellEnd"/>
      <w:r w:rsidRPr="00B86D87">
        <w:rPr>
          <w:rFonts w:eastAsia="Calibri" w:cs="Arial"/>
          <w:lang w:val="lv-LV"/>
        </w:rPr>
        <w:t xml:space="preserve"> programmas ietvaros (1.1.1.2.</w:t>
      </w:r>
      <w:r w:rsidR="00485040">
        <w:rPr>
          <w:rFonts w:eastAsia="Calibri" w:cs="Arial"/>
          <w:lang w:val="lv-LV"/>
        </w:rPr>
        <w:t xml:space="preserve"> </w:t>
      </w:r>
      <w:r w:rsidRPr="00B86D87">
        <w:rPr>
          <w:rFonts w:eastAsia="Calibri" w:cs="Arial"/>
          <w:lang w:val="lv-LV"/>
        </w:rPr>
        <w:t>pasākums “</w:t>
      </w:r>
      <w:proofErr w:type="spellStart"/>
      <w:r w:rsidRPr="00B86D87">
        <w:rPr>
          <w:rFonts w:eastAsia="Calibri" w:cs="Arial"/>
          <w:lang w:val="lv-LV"/>
        </w:rPr>
        <w:t>Pēcdoktorantūras</w:t>
      </w:r>
      <w:proofErr w:type="spellEnd"/>
      <w:r w:rsidRPr="00B86D87">
        <w:rPr>
          <w:rFonts w:eastAsia="Calibri" w:cs="Arial"/>
          <w:lang w:val="lv-LV"/>
        </w:rPr>
        <w:t xml:space="preserve"> pētniecības atbalsts” </w:t>
      </w:r>
      <w:bookmarkEnd w:id="9"/>
      <w:r w:rsidRPr="00B86D87">
        <w:rPr>
          <w:rFonts w:eastAsia="Calibri" w:cs="Arial"/>
          <w:lang w:val="lv-LV"/>
        </w:rPr>
        <w:t>(</w:t>
      </w:r>
      <w:proofErr w:type="spellStart"/>
      <w:r w:rsidRPr="006E02F6">
        <w:rPr>
          <w:rFonts w:eastAsia="Calibri" w:cs="Arial"/>
          <w:i/>
          <w:lang w:val="lv-LV"/>
        </w:rPr>
        <w:t>PostDoc</w:t>
      </w:r>
      <w:proofErr w:type="spellEnd"/>
      <w:r w:rsidRPr="006E02F6">
        <w:rPr>
          <w:rFonts w:eastAsia="Calibri" w:cs="Arial"/>
          <w:i/>
          <w:lang w:val="lv-LV"/>
        </w:rPr>
        <w:t xml:space="preserve"> Latvia</w:t>
      </w:r>
      <w:r w:rsidRPr="00B86D87">
        <w:rPr>
          <w:rFonts w:eastAsia="Calibri" w:cs="Arial"/>
          <w:lang w:val="lv-LV"/>
        </w:rPr>
        <w:t>)) dzimumu līdztiesības princips un pienākums pabeigt projektus atbilstoši termiņam nonāca pretrunā, jo, izmantojot ar grūtniecību saistītos atvaļinājumus, nebija iespējams pabeigt projektu atbilstoši normatīvajos aktos noteiktajam termiņam. Savukārt, ievērojot projektu noslēguma termiņu, nebija iespējams izmantot ar grūtniecību saistītos atvaļinājumus atbilstoši nacionālajam regulējumam. Veidojās situācija, kad sievietes</w:t>
      </w:r>
      <w:r w:rsidR="00485040">
        <w:rPr>
          <w:rFonts w:eastAsia="Calibri" w:cs="Arial"/>
          <w:lang w:val="lv-LV"/>
        </w:rPr>
        <w:t xml:space="preserve"> </w:t>
      </w:r>
      <w:r w:rsidRPr="00B86D87">
        <w:rPr>
          <w:rFonts w:eastAsia="Calibri" w:cs="Arial"/>
          <w:lang w:val="lv-LV"/>
        </w:rPr>
        <w:t>zinātnieces ir noslēgušas darba līgumus ar augstskolām, tomēr projektu ietvaros sieviešu</w:t>
      </w:r>
      <w:r w:rsidR="00485040">
        <w:rPr>
          <w:rFonts w:eastAsia="Calibri" w:cs="Arial"/>
          <w:lang w:val="lv-LV"/>
        </w:rPr>
        <w:t xml:space="preserve"> </w:t>
      </w:r>
      <w:r w:rsidRPr="00B86D87">
        <w:rPr>
          <w:rFonts w:eastAsia="Calibri" w:cs="Arial"/>
          <w:lang w:val="lv-LV"/>
        </w:rPr>
        <w:t>zinātnieču tiesības izmantot ar grūtniecību saistītos atvaļinājumus (grūtniecības, maternitātes un bērna kopšanas) un to ilgumu noteica Latvijas Zinātnes padome (LZP), kas savukārt nozīmēja trīspusējas darba tiesiskās attiecības. LZP piedāvājumi situācijas risināšanā nebija saistīti ar darba un privātās dzīves balansa ievērošanu, turklāt nevienā gadījumā LZP nebija piedāvājusi tādus risinājumus – segt izdevumus no nacionālā budžeta vai pētniecības tēmu iekļaut jaunajā budžeta plānošanas periodā – kā piedāvāja Eiropas Komisija. Citas iesaistītās institūcijas – Finanšu ministrija (FM) un Izglītības un zinātnes ministrija (IZM) – atbalstīja LZP pozīciju. Turklāt pārbaudes lietas ietvaros veiktā sieviešu</w:t>
      </w:r>
      <w:r w:rsidR="00485040">
        <w:rPr>
          <w:rFonts w:eastAsia="Calibri" w:cs="Arial"/>
          <w:lang w:val="lv-LV"/>
        </w:rPr>
        <w:t xml:space="preserve"> </w:t>
      </w:r>
      <w:r w:rsidRPr="00B86D87">
        <w:rPr>
          <w:rFonts w:eastAsia="Calibri" w:cs="Arial"/>
          <w:lang w:val="lv-LV"/>
        </w:rPr>
        <w:t>zinātnieču aptauja liecināja, ka LZP savā darbībā par prioritāti izvirza normatīvajos aktos noteikto termiņa ievērošanu, nevis meklē risinājumus, lai nodrošinātu dzimumu līdztiesības principa ievērošanu.</w:t>
      </w:r>
    </w:p>
    <w:p w14:paraId="2AA644D4" w14:textId="61093836" w:rsidR="00F41D84" w:rsidRPr="00B86D87" w:rsidRDefault="00F41D84" w:rsidP="00A7008D">
      <w:pPr>
        <w:tabs>
          <w:tab w:val="center" w:pos="709"/>
          <w:tab w:val="center" w:pos="4680"/>
          <w:tab w:val="right" w:pos="9360"/>
        </w:tabs>
        <w:spacing w:line="276" w:lineRule="auto"/>
        <w:ind w:left="0"/>
        <w:rPr>
          <w:rFonts w:eastAsia="Calibri" w:cs="Arial"/>
          <w:lang w:val="lv-LV"/>
        </w:rPr>
      </w:pPr>
      <w:r w:rsidRPr="00B86D87">
        <w:rPr>
          <w:rFonts w:eastAsia="Calibri" w:cs="Arial"/>
          <w:lang w:val="lv-LV"/>
        </w:rPr>
        <w:t xml:space="preserve">Pārkāpums novērsts, paredzot atbilstošus īstenošanas nosacījumus ES fondu 2021.– 2027. gadam plānošanas perioda 1.1.1.9. pasākumā “Pēcdoktorantūras pētījumi”. </w:t>
      </w:r>
    </w:p>
    <w:p w14:paraId="47AB45AB" w14:textId="7882723E" w:rsidR="00F41D84" w:rsidRPr="00B86D87" w:rsidRDefault="00F41D84" w:rsidP="00A7008D">
      <w:pPr>
        <w:tabs>
          <w:tab w:val="center" w:pos="709"/>
          <w:tab w:val="center" w:pos="4680"/>
          <w:tab w:val="right" w:pos="9360"/>
        </w:tabs>
        <w:spacing w:before="120" w:line="276" w:lineRule="auto"/>
        <w:ind w:left="0"/>
        <w:rPr>
          <w:rFonts w:eastAsia="Calibri" w:cs="Arial"/>
          <w:lang w:val="lv-LV"/>
        </w:rPr>
      </w:pPr>
      <w:r>
        <w:rPr>
          <w:rFonts w:eastAsia="Calibri" w:cs="Arial"/>
          <w:lang w:val="lv-LV"/>
        </w:rPr>
        <w:t>MK</w:t>
      </w:r>
      <w:r w:rsidRPr="00B86D87">
        <w:rPr>
          <w:rFonts w:eastAsia="Calibri" w:cs="Arial"/>
          <w:lang w:val="lv-LV"/>
        </w:rPr>
        <w:t xml:space="preserve"> noteikumos par 1.1.1.9. pasākuma “Pēcdoktorantūras pētījumi” īstenošanu</w:t>
      </w:r>
      <w:r>
        <w:rPr>
          <w:rStyle w:val="FootnoteReference"/>
          <w:rFonts w:eastAsia="Calibri" w:cs="Arial"/>
          <w:lang w:val="lv-LV"/>
        </w:rPr>
        <w:footnoteReference w:id="3"/>
      </w:r>
      <w:r w:rsidRPr="00B86D87">
        <w:rPr>
          <w:rFonts w:eastAsia="Calibri" w:cs="Arial"/>
          <w:lang w:val="lv-LV"/>
        </w:rPr>
        <w:t xml:space="preserve">  ir ietverts regulējums, kas nodrošina iespēju pagarināt pētniecības pieteikuma īstenošanas termiņu </w:t>
      </w:r>
      <w:proofErr w:type="spellStart"/>
      <w:r w:rsidRPr="00B86D87">
        <w:rPr>
          <w:rFonts w:eastAsia="Calibri" w:cs="Arial"/>
          <w:lang w:val="lv-LV"/>
        </w:rPr>
        <w:t>pēcdoktoranta</w:t>
      </w:r>
      <w:proofErr w:type="spellEnd"/>
      <w:r w:rsidRPr="00B86D87">
        <w:rPr>
          <w:rFonts w:eastAsia="Calibri" w:cs="Arial"/>
          <w:lang w:val="lv-LV"/>
        </w:rPr>
        <w:t xml:space="preserve"> ilgstošas pārejošas darbnespējas gadījumā, kā arī gadījumos, kad </w:t>
      </w:r>
      <w:proofErr w:type="spellStart"/>
      <w:r w:rsidRPr="00B86D87">
        <w:rPr>
          <w:rFonts w:eastAsia="Calibri" w:cs="Arial"/>
          <w:lang w:val="lv-LV"/>
        </w:rPr>
        <w:t>pēcdoktorants</w:t>
      </w:r>
      <w:proofErr w:type="spellEnd"/>
      <w:r w:rsidRPr="00B86D87">
        <w:rPr>
          <w:rFonts w:eastAsia="Calibri" w:cs="Arial"/>
          <w:lang w:val="lv-LV"/>
        </w:rPr>
        <w:t xml:space="preserve"> atrodas grūtniecības un dzemdību atvaļinājumā vai </w:t>
      </w:r>
      <w:proofErr w:type="spellStart"/>
      <w:r w:rsidRPr="00B86D87">
        <w:rPr>
          <w:rFonts w:eastAsia="Calibri" w:cs="Arial"/>
          <w:lang w:val="lv-LV"/>
        </w:rPr>
        <w:t>pēcdoktorants</w:t>
      </w:r>
      <w:proofErr w:type="spellEnd"/>
      <w:r w:rsidRPr="00B86D87">
        <w:rPr>
          <w:rFonts w:eastAsia="Calibri" w:cs="Arial"/>
          <w:lang w:val="lv-LV"/>
        </w:rPr>
        <w:t xml:space="preserve"> atrodas bērna kopšanas atvaļinājumā (</w:t>
      </w:r>
      <w:r>
        <w:rPr>
          <w:rFonts w:eastAsia="Calibri" w:cs="Arial"/>
          <w:lang w:val="lv-LV"/>
        </w:rPr>
        <w:t>MK</w:t>
      </w:r>
      <w:r w:rsidRPr="00B86D87">
        <w:rPr>
          <w:rFonts w:eastAsia="Calibri" w:cs="Arial"/>
          <w:lang w:val="lv-LV"/>
        </w:rPr>
        <w:t xml:space="preserve"> noteikumu </w:t>
      </w:r>
      <w:r>
        <w:rPr>
          <w:rFonts w:eastAsia="Calibri" w:cs="Arial"/>
          <w:lang w:val="lv-LV"/>
        </w:rPr>
        <w:t>Nr.</w:t>
      </w:r>
      <w:r w:rsidR="00485040">
        <w:rPr>
          <w:rFonts w:eastAsia="Calibri" w:cs="Arial"/>
          <w:lang w:val="lv-LV"/>
        </w:rPr>
        <w:t xml:space="preserve"> </w:t>
      </w:r>
      <w:r>
        <w:rPr>
          <w:rFonts w:eastAsia="Calibri" w:cs="Arial"/>
          <w:lang w:val="lv-LV"/>
        </w:rPr>
        <w:t>35</w:t>
      </w:r>
      <w:r w:rsidRPr="00B86D87">
        <w:rPr>
          <w:rFonts w:eastAsia="Calibri" w:cs="Arial"/>
          <w:lang w:val="lv-LV"/>
        </w:rPr>
        <w:t xml:space="preserve"> 86. un 87.</w:t>
      </w:r>
      <w:r w:rsidR="00485040">
        <w:rPr>
          <w:rFonts w:eastAsia="Calibri" w:cs="Arial"/>
          <w:lang w:val="lv-LV"/>
        </w:rPr>
        <w:t xml:space="preserve"> </w:t>
      </w:r>
      <w:r w:rsidRPr="00B86D87">
        <w:rPr>
          <w:rFonts w:eastAsia="Calibri" w:cs="Arial"/>
          <w:lang w:val="lv-LV"/>
        </w:rPr>
        <w:t>punkts).</w:t>
      </w:r>
    </w:p>
    <w:p w14:paraId="109C83FF" w14:textId="77777777" w:rsidR="00F41D84" w:rsidRPr="007641AD" w:rsidRDefault="00F41D84" w:rsidP="00A7008D">
      <w:pPr>
        <w:tabs>
          <w:tab w:val="center" w:pos="709"/>
          <w:tab w:val="center" w:pos="4680"/>
          <w:tab w:val="right" w:pos="9360"/>
        </w:tabs>
        <w:spacing w:before="120" w:line="276" w:lineRule="auto"/>
        <w:ind w:left="0"/>
        <w:rPr>
          <w:rFonts w:eastAsia="Calibri" w:cs="Arial"/>
          <w:b/>
          <w:bCs/>
          <w:lang w:val="lv-LV"/>
        </w:rPr>
      </w:pPr>
      <w:r w:rsidRPr="007641AD">
        <w:rPr>
          <w:rFonts w:eastAsia="Calibri" w:cs="Arial"/>
          <w:b/>
          <w:bCs/>
          <w:lang w:val="lv-LV"/>
        </w:rPr>
        <w:t xml:space="preserve">Iesniegums par </w:t>
      </w:r>
      <w:proofErr w:type="spellStart"/>
      <w:r w:rsidRPr="007641AD">
        <w:rPr>
          <w:rFonts w:eastAsia="Calibri" w:cs="Arial"/>
          <w:b/>
          <w:bCs/>
          <w:lang w:val="lv-LV"/>
        </w:rPr>
        <w:t>nepiekļūstamību</w:t>
      </w:r>
      <w:proofErr w:type="spellEnd"/>
      <w:r w:rsidRPr="007641AD">
        <w:rPr>
          <w:rFonts w:eastAsia="Calibri" w:cs="Arial"/>
          <w:b/>
          <w:bCs/>
          <w:lang w:val="lv-LV"/>
        </w:rPr>
        <w:t xml:space="preserve"> VSIA “Nacionālais psihiskās veselības centrs”</w:t>
      </w:r>
    </w:p>
    <w:p w14:paraId="5F807D11" w14:textId="54E3D5DD" w:rsidR="00F41D84" w:rsidRPr="00B86D87" w:rsidRDefault="00F41D84" w:rsidP="00A7008D">
      <w:pPr>
        <w:tabs>
          <w:tab w:val="center" w:pos="709"/>
          <w:tab w:val="center" w:pos="4680"/>
          <w:tab w:val="right" w:pos="9360"/>
        </w:tabs>
        <w:spacing w:before="120" w:line="276" w:lineRule="auto"/>
        <w:ind w:left="0"/>
        <w:rPr>
          <w:rFonts w:eastAsia="Calibri" w:cs="Arial"/>
          <w:lang w:val="lv-LV"/>
        </w:rPr>
      </w:pPr>
      <w:r w:rsidRPr="00B86D87">
        <w:rPr>
          <w:rFonts w:eastAsia="Calibri" w:cs="Arial"/>
          <w:lang w:val="lv-LV"/>
        </w:rPr>
        <w:t xml:space="preserve">Lieta tika izskatīta uz iesnieguma pamata, norādot, ka iesniedzēja 2024. gada augustā kopā ar personu </w:t>
      </w:r>
      <w:proofErr w:type="spellStart"/>
      <w:r w:rsidRPr="00B86D87">
        <w:rPr>
          <w:rFonts w:eastAsia="Calibri" w:cs="Arial"/>
          <w:lang w:val="lv-LV"/>
        </w:rPr>
        <w:t>ratiņkrēslā</w:t>
      </w:r>
      <w:proofErr w:type="spellEnd"/>
      <w:r w:rsidRPr="00B86D87">
        <w:rPr>
          <w:rFonts w:eastAsia="Calibri" w:cs="Arial"/>
          <w:lang w:val="lv-LV"/>
        </w:rPr>
        <w:t xml:space="preserve"> apmeklēja VSIA “Nacionālais psihiskās veselības centrs” (turpmāk </w:t>
      </w:r>
      <w:r w:rsidR="00692075">
        <w:rPr>
          <w:rFonts w:eastAsia="Calibri" w:cs="Arial"/>
          <w:lang w:val="lv-LV"/>
        </w:rPr>
        <w:t xml:space="preserve">tekstā </w:t>
      </w:r>
      <w:r w:rsidRPr="00B86D87">
        <w:rPr>
          <w:rFonts w:eastAsia="Calibri" w:cs="Arial"/>
          <w:lang w:val="lv-LV"/>
        </w:rPr>
        <w:t xml:space="preserve">– Centrs) tā jaunajās telpās un konstatēja, ka lifts, kas paredzēts arī personām </w:t>
      </w:r>
      <w:proofErr w:type="spellStart"/>
      <w:r w:rsidRPr="00B86D87">
        <w:rPr>
          <w:rFonts w:eastAsia="Calibri" w:cs="Arial"/>
          <w:lang w:val="lv-LV"/>
        </w:rPr>
        <w:t>ratiņkrēslā</w:t>
      </w:r>
      <w:proofErr w:type="spellEnd"/>
      <w:r w:rsidRPr="00B86D87">
        <w:rPr>
          <w:rFonts w:eastAsia="Calibri" w:cs="Arial"/>
          <w:lang w:val="lv-LV"/>
        </w:rPr>
        <w:t xml:space="preserve">, atrodas aiz stikla durvīm, kas nav piemērotas personām ar invaliditāti. Proti, minētās durvis ar spiedienu veras ciet un personai ar pretspēku tās jāver vaļā. Minētais nav izdarāms, personai braucot </w:t>
      </w:r>
      <w:proofErr w:type="spellStart"/>
      <w:r w:rsidRPr="00B86D87">
        <w:rPr>
          <w:rFonts w:eastAsia="Calibri" w:cs="Arial"/>
          <w:lang w:val="lv-LV"/>
        </w:rPr>
        <w:t>ratiņkrēslā</w:t>
      </w:r>
      <w:proofErr w:type="spellEnd"/>
      <w:r w:rsidRPr="00B86D87">
        <w:rPr>
          <w:rFonts w:eastAsia="Calibri" w:cs="Arial"/>
          <w:lang w:val="lv-LV"/>
        </w:rPr>
        <w:t xml:space="preserve">, tāpat to nevar izdarīt arī pavadošā persona, stumjot </w:t>
      </w:r>
      <w:proofErr w:type="spellStart"/>
      <w:r w:rsidRPr="00B86D87">
        <w:rPr>
          <w:rFonts w:eastAsia="Calibri" w:cs="Arial"/>
          <w:lang w:val="lv-LV"/>
        </w:rPr>
        <w:t>ratiņkrēslu</w:t>
      </w:r>
      <w:proofErr w:type="spellEnd"/>
      <w:r w:rsidRPr="00B86D87">
        <w:rPr>
          <w:rFonts w:eastAsia="Calibri" w:cs="Arial"/>
          <w:lang w:val="lv-LV"/>
        </w:rPr>
        <w:t xml:space="preserve">. Durvīm nav pieejami citi atvēršanas risinājumi. Tāpat Centra teritorijā nav norāžu, lai apmeklētāji </w:t>
      </w:r>
      <w:r w:rsidR="00F913FA">
        <w:rPr>
          <w:rFonts w:eastAsia="Calibri" w:cs="Arial"/>
          <w:lang w:val="lv-LV"/>
        </w:rPr>
        <w:t xml:space="preserve">tajā </w:t>
      </w:r>
      <w:r w:rsidRPr="00B86D87">
        <w:rPr>
          <w:rFonts w:eastAsia="Calibri" w:cs="Arial"/>
          <w:lang w:val="lv-LV"/>
        </w:rPr>
        <w:t>varētu orientēties.</w:t>
      </w:r>
    </w:p>
    <w:p w14:paraId="5F4ACE30" w14:textId="152DA17D" w:rsidR="00F41D84" w:rsidRPr="00B86D87" w:rsidRDefault="00F41D84" w:rsidP="00A7008D">
      <w:pPr>
        <w:tabs>
          <w:tab w:val="center" w:pos="709"/>
          <w:tab w:val="center" w:pos="4680"/>
          <w:tab w:val="right" w:pos="9360"/>
        </w:tabs>
        <w:spacing w:line="276" w:lineRule="auto"/>
        <w:ind w:left="0"/>
        <w:rPr>
          <w:rFonts w:eastAsia="Calibri" w:cs="Arial"/>
          <w:lang w:val="lv-LV"/>
        </w:rPr>
      </w:pPr>
      <w:r w:rsidRPr="00B86D87">
        <w:rPr>
          <w:rFonts w:eastAsia="Calibri" w:cs="Arial"/>
          <w:lang w:val="lv-LV"/>
        </w:rPr>
        <w:t>Iesnieguma izskatīšanas ietvaros Centrs informēja, ka tā ēkas būvniecībai tika piesaistīts gan ES struktūrfondu finansējums (projekts Nr.</w:t>
      </w:r>
      <w:r w:rsidR="00692075">
        <w:rPr>
          <w:rFonts w:eastAsia="Calibri" w:cs="Arial"/>
          <w:lang w:val="lv-LV"/>
        </w:rPr>
        <w:t xml:space="preserve"> </w:t>
      </w:r>
      <w:r w:rsidRPr="00B86D87">
        <w:rPr>
          <w:rFonts w:eastAsia="Calibri" w:cs="Arial"/>
          <w:lang w:val="lv-LV"/>
        </w:rPr>
        <w:t>9.3.2.0/21/I/002 “Veselības aprūpes infrastruktūras attīstība”), gan nacionālais finansējums.</w:t>
      </w:r>
      <w:r>
        <w:rPr>
          <w:rFonts w:eastAsia="Calibri" w:cs="Arial"/>
          <w:lang w:val="lv-LV"/>
        </w:rPr>
        <w:t xml:space="preserve"> </w:t>
      </w:r>
      <w:r w:rsidRPr="00B86D87">
        <w:rPr>
          <w:rFonts w:eastAsia="Calibri" w:cs="Arial"/>
          <w:lang w:val="lv-LV"/>
        </w:rPr>
        <w:t>Centrs atzina, ka pastāv problēma ar durvju atvēršanas smagumu un tā radītajām sekām</w:t>
      </w:r>
      <w:r w:rsidR="00692075">
        <w:rPr>
          <w:rFonts w:eastAsia="Calibri" w:cs="Arial"/>
          <w:lang w:val="lv-LV"/>
        </w:rPr>
        <w:t>,</w:t>
      </w:r>
      <w:r w:rsidRPr="00B86D87">
        <w:rPr>
          <w:rFonts w:eastAsia="Calibri" w:cs="Arial"/>
          <w:lang w:val="lv-LV"/>
        </w:rPr>
        <w:t xml:space="preserve"> un piekrita veikt pasākumus problēmas novēršanai, līdz ar to pārbaudes lieta netika ierosināta. Centrs attiecīgi sniedza informāciju par izvēlēto risinājumu.</w:t>
      </w:r>
    </w:p>
    <w:p w14:paraId="53D4FF8C" w14:textId="77777777" w:rsidR="00F41D84" w:rsidRPr="007641AD" w:rsidRDefault="00F41D84" w:rsidP="00A7008D">
      <w:pPr>
        <w:tabs>
          <w:tab w:val="center" w:pos="4153"/>
          <w:tab w:val="right" w:pos="8306"/>
        </w:tabs>
        <w:spacing w:before="240" w:line="276" w:lineRule="auto"/>
        <w:ind w:left="0"/>
        <w:rPr>
          <w:b/>
          <w:bCs/>
          <w:lang w:val="lv-LV"/>
        </w:rPr>
      </w:pPr>
      <w:bookmarkStart w:id="11" w:name="_Hlk210122024"/>
      <w:r w:rsidRPr="007641AD">
        <w:rPr>
          <w:b/>
          <w:bCs/>
          <w:lang w:val="lv-LV"/>
        </w:rPr>
        <w:lastRenderedPageBreak/>
        <w:t>Pētījums par tīmekļvietņu piekļūstamību cilvēkiem ar invaliditāti</w:t>
      </w:r>
      <w:bookmarkEnd w:id="11"/>
      <w:r w:rsidRPr="007641AD">
        <w:rPr>
          <w:rStyle w:val="FootnoteReference"/>
          <w:b/>
          <w:bCs/>
          <w:lang w:val="lv-LV"/>
        </w:rPr>
        <w:footnoteReference w:id="4"/>
      </w:r>
    </w:p>
    <w:p w14:paraId="2D5C7E38" w14:textId="5B7F5073" w:rsidR="00F41D84" w:rsidRPr="00B86D87" w:rsidRDefault="00F41D84" w:rsidP="00A7008D">
      <w:pPr>
        <w:tabs>
          <w:tab w:val="center" w:pos="4153"/>
          <w:tab w:val="right" w:pos="8306"/>
        </w:tabs>
        <w:spacing w:before="120" w:line="276" w:lineRule="auto"/>
        <w:ind w:left="0"/>
        <w:rPr>
          <w:lang w:val="lv-LV"/>
        </w:rPr>
      </w:pPr>
      <w:r w:rsidRPr="00B86D87">
        <w:rPr>
          <w:lang w:val="lv-LV"/>
        </w:rPr>
        <w:t xml:space="preserve">Lai izzinātu </w:t>
      </w:r>
      <w:bookmarkStart w:id="12" w:name="_Hlk210123536"/>
      <w:r w:rsidRPr="00B86D87">
        <w:rPr>
          <w:lang w:val="lv-LV"/>
        </w:rPr>
        <w:t>valsts un pašvaldības tīmekļvietņu piekļūstamību lietotājiem ar redzes grūtībām</w:t>
      </w:r>
      <w:bookmarkEnd w:id="12"/>
      <w:r w:rsidRPr="00B86D87">
        <w:rPr>
          <w:lang w:val="lv-LV"/>
        </w:rPr>
        <w:t xml:space="preserve"> un procesa atbilstību Eiropas Parlamenta un Padomes Direktīvai 2016/2102 (2016. gada 26. oktobris) par publiskā sektora struktūru tīmekļvietņu un mobilo lietotņu </w:t>
      </w:r>
      <w:proofErr w:type="spellStart"/>
      <w:r w:rsidRPr="00B86D87">
        <w:rPr>
          <w:lang w:val="lv-LV"/>
        </w:rPr>
        <w:t>piekļūstamību</w:t>
      </w:r>
      <w:proofErr w:type="spellEnd"/>
      <w:r w:rsidRPr="00B86D87">
        <w:rPr>
          <w:lang w:val="lv-LV"/>
        </w:rPr>
        <w:t xml:space="preserve">, Rīgas </w:t>
      </w:r>
      <w:r w:rsidR="00692075">
        <w:rPr>
          <w:lang w:val="lv-LV"/>
        </w:rPr>
        <w:t>v</w:t>
      </w:r>
      <w:r w:rsidRPr="00B86D87">
        <w:rPr>
          <w:lang w:val="lv-LV"/>
        </w:rPr>
        <w:t xml:space="preserve">ājredzīgo un </w:t>
      </w:r>
      <w:r w:rsidR="00692075">
        <w:rPr>
          <w:lang w:val="lv-LV"/>
        </w:rPr>
        <w:t>n</w:t>
      </w:r>
      <w:r w:rsidRPr="00B86D87">
        <w:rPr>
          <w:lang w:val="lv-LV"/>
        </w:rPr>
        <w:t xml:space="preserve">eredzīgo biedrība “Redzi mani” </w:t>
      </w:r>
      <w:proofErr w:type="spellStart"/>
      <w:r w:rsidRPr="00B86D87">
        <w:rPr>
          <w:lang w:val="lv-LV"/>
        </w:rPr>
        <w:t>tiesībsarga</w:t>
      </w:r>
      <w:proofErr w:type="spellEnd"/>
      <w:r w:rsidRPr="00B86D87">
        <w:rPr>
          <w:lang w:val="lv-LV"/>
        </w:rPr>
        <w:t xml:space="preserve"> uzdevumā 2023.</w:t>
      </w:r>
      <w:r w:rsidR="00692075">
        <w:rPr>
          <w:rFonts w:eastAsia="Calibri"/>
          <w:color w:val="000000"/>
          <w:lang w:val="lv-LV"/>
        </w:rPr>
        <w:t>–</w:t>
      </w:r>
      <w:r w:rsidRPr="00B86D87">
        <w:rPr>
          <w:lang w:val="lv-LV"/>
        </w:rPr>
        <w:t>2024.</w:t>
      </w:r>
      <w:r w:rsidR="00692075">
        <w:rPr>
          <w:lang w:val="lv-LV"/>
        </w:rPr>
        <w:t xml:space="preserve"> </w:t>
      </w:r>
      <w:r w:rsidRPr="00B86D87">
        <w:rPr>
          <w:lang w:val="lv-LV"/>
        </w:rPr>
        <w:t xml:space="preserve">gadā veica 15 valsts un pašvaldības iestāžu tīmekļvietņu tehnisko analīzi. Minētais pētījums tika uzsākts pēc tiesībsarga iniciatīvas. </w:t>
      </w:r>
    </w:p>
    <w:p w14:paraId="5062F472" w14:textId="6F9005E4" w:rsidR="00F41D84" w:rsidRPr="00B86D87" w:rsidRDefault="00F41D84" w:rsidP="00A7008D">
      <w:pPr>
        <w:tabs>
          <w:tab w:val="center" w:pos="4153"/>
          <w:tab w:val="right" w:pos="8306"/>
        </w:tabs>
        <w:spacing w:before="120" w:line="276" w:lineRule="auto"/>
        <w:ind w:left="0"/>
        <w:rPr>
          <w:lang w:val="lv-LV"/>
        </w:rPr>
      </w:pPr>
      <w:r w:rsidRPr="00B86D87">
        <w:rPr>
          <w:lang w:val="lv-LV"/>
        </w:rPr>
        <w:t>Tiesībsargs secināja, ka valsts un pašvaldību iestādēm ir pienākums nodrošināt savu tīmekļvietņu piekļūstamību. Daļa minēto tīmekļvietņu atrodas tīmekļvietņu vienotajā platformā, kura tika veidota nolūkā nodrošināt piekļūstamību un kuras izveidei tika piesaistīts ES struktūrfondu finansējums (Eiropas Reģionālās attīstības fonds, Nr.</w:t>
      </w:r>
      <w:r w:rsidR="00692075">
        <w:rPr>
          <w:lang w:val="lv-LV"/>
        </w:rPr>
        <w:t> </w:t>
      </w:r>
      <w:r w:rsidRPr="00B86D87">
        <w:rPr>
          <w:lang w:val="lv-LV"/>
        </w:rPr>
        <w:t xml:space="preserve">2.2.1.1/17/I/016). Tiesībsargs pārbaudīja 15 tīmekļvietnes (gan tās, kas atrodas minētajā platformā, gan tās, kas </w:t>
      </w:r>
      <w:r w:rsidR="00692075">
        <w:rPr>
          <w:lang w:val="lv-LV"/>
        </w:rPr>
        <w:t xml:space="preserve">tajā </w:t>
      </w:r>
      <w:r w:rsidRPr="00B86D87">
        <w:rPr>
          <w:lang w:val="lv-LV"/>
        </w:rPr>
        <w:t>neatrodas) un konstatēja, ka tās visas ir nepiekļūstamas. Piekļūstamības problēmas rodas ne vien tādēļ, ka tīmekļvietņu platforma nav piekļūstama (ja platformā ir kāda kļūda, tad tāda pati kļūda būs arī tīmekļvietnēs, kas atrodas platform</w:t>
      </w:r>
      <w:r w:rsidR="00692075">
        <w:rPr>
          <w:lang w:val="lv-LV"/>
        </w:rPr>
        <w:t>ā</w:t>
      </w:r>
      <w:r w:rsidRPr="00B86D87">
        <w:rPr>
          <w:lang w:val="lv-LV"/>
        </w:rPr>
        <w:t xml:space="preserve">), bet arī tādēļ, </w:t>
      </w:r>
      <w:bookmarkStart w:id="13" w:name="_Hlk210122097"/>
      <w:r w:rsidRPr="00B86D87">
        <w:rPr>
          <w:lang w:val="lv-LV"/>
        </w:rPr>
        <w:t xml:space="preserve">ka katras konkrētās tīmekļvietnes administrators nepārzina piekļūstamības prasības pietiekamā līmenī un informāciju tīmekļvietnē ievieto, </w:t>
      </w:r>
      <w:r w:rsidR="00692075">
        <w:rPr>
          <w:lang w:val="lv-LV"/>
        </w:rPr>
        <w:t xml:space="preserve">tās </w:t>
      </w:r>
      <w:r w:rsidRPr="00B86D87">
        <w:rPr>
          <w:lang w:val="lv-LV"/>
        </w:rPr>
        <w:t>neievērojot</w:t>
      </w:r>
      <w:bookmarkEnd w:id="13"/>
      <w:r w:rsidRPr="00B86D87">
        <w:rPr>
          <w:lang w:val="lv-LV"/>
        </w:rPr>
        <w:t xml:space="preserve">. </w:t>
      </w:r>
    </w:p>
    <w:p w14:paraId="7F48ABE7" w14:textId="77777777" w:rsidR="00F41D84" w:rsidRPr="007641AD" w:rsidRDefault="00F41D84" w:rsidP="00A7008D">
      <w:pPr>
        <w:tabs>
          <w:tab w:val="center" w:pos="4153"/>
          <w:tab w:val="right" w:pos="8306"/>
        </w:tabs>
        <w:spacing w:before="240" w:line="276" w:lineRule="auto"/>
        <w:ind w:left="0"/>
        <w:rPr>
          <w:b/>
          <w:bCs/>
          <w:lang w:val="lv-LV"/>
        </w:rPr>
      </w:pPr>
      <w:r w:rsidRPr="007641AD">
        <w:rPr>
          <w:b/>
          <w:bCs/>
          <w:lang w:val="lv-LV"/>
        </w:rPr>
        <w:t xml:space="preserve">Par </w:t>
      </w:r>
      <w:proofErr w:type="spellStart"/>
      <w:r w:rsidRPr="007641AD">
        <w:rPr>
          <w:b/>
          <w:bCs/>
          <w:lang w:val="lv-LV"/>
        </w:rPr>
        <w:t>deinstituci</w:t>
      </w:r>
      <w:r>
        <w:rPr>
          <w:b/>
          <w:bCs/>
          <w:lang w:val="lv-LV"/>
        </w:rPr>
        <w:t>on</w:t>
      </w:r>
      <w:r w:rsidRPr="007641AD">
        <w:rPr>
          <w:b/>
          <w:bCs/>
          <w:lang w:val="lv-LV"/>
        </w:rPr>
        <w:t>alizācijas</w:t>
      </w:r>
      <w:proofErr w:type="spellEnd"/>
      <w:r w:rsidRPr="007641AD">
        <w:rPr>
          <w:b/>
          <w:bCs/>
          <w:lang w:val="lv-LV"/>
        </w:rPr>
        <w:t xml:space="preserve"> procesa uzraudzību</w:t>
      </w:r>
    </w:p>
    <w:p w14:paraId="21F7ABBD" w14:textId="1E3E5FEF" w:rsidR="00F41D84" w:rsidRPr="00B86D87" w:rsidRDefault="00F41D84" w:rsidP="00A7008D">
      <w:pPr>
        <w:tabs>
          <w:tab w:val="center" w:pos="4153"/>
          <w:tab w:val="right" w:pos="8306"/>
        </w:tabs>
        <w:spacing w:before="240" w:line="276" w:lineRule="auto"/>
        <w:ind w:left="0"/>
        <w:rPr>
          <w:lang w:val="lv-LV"/>
        </w:rPr>
      </w:pPr>
      <w:proofErr w:type="spellStart"/>
      <w:r w:rsidRPr="00B86D87">
        <w:rPr>
          <w:lang w:val="lv-LV"/>
        </w:rPr>
        <w:t>Tiesībsargs</w:t>
      </w:r>
      <w:proofErr w:type="spellEnd"/>
      <w:r w:rsidRPr="00B86D87">
        <w:rPr>
          <w:lang w:val="lv-LV"/>
        </w:rPr>
        <w:t xml:space="preserve">, īstenojot </w:t>
      </w:r>
      <w:proofErr w:type="spellStart"/>
      <w:r w:rsidRPr="00B86D87">
        <w:rPr>
          <w:lang w:val="lv-LV"/>
        </w:rPr>
        <w:t>deinstituci</w:t>
      </w:r>
      <w:r>
        <w:rPr>
          <w:lang w:val="lv-LV"/>
        </w:rPr>
        <w:t>on</w:t>
      </w:r>
      <w:r w:rsidRPr="00B86D87">
        <w:rPr>
          <w:lang w:val="lv-LV"/>
        </w:rPr>
        <w:t>alizācijas</w:t>
      </w:r>
      <w:proofErr w:type="spellEnd"/>
      <w:r w:rsidRPr="00B86D87">
        <w:rPr>
          <w:lang w:val="lv-LV"/>
        </w:rPr>
        <w:t xml:space="preserve"> procesa uzraudzību, </w:t>
      </w:r>
      <w:r w:rsidR="00692075">
        <w:rPr>
          <w:lang w:val="lv-LV"/>
        </w:rPr>
        <w:t xml:space="preserve">cita starpā </w:t>
      </w:r>
      <w:r w:rsidRPr="00B86D87">
        <w:rPr>
          <w:lang w:val="lv-LV"/>
        </w:rPr>
        <w:t>novērtējis ESF pasākuma Nr.</w:t>
      </w:r>
      <w:r w:rsidR="00692075">
        <w:rPr>
          <w:lang w:val="lv-LV"/>
        </w:rPr>
        <w:t xml:space="preserve"> </w:t>
      </w:r>
      <w:r w:rsidRPr="00B86D87">
        <w:rPr>
          <w:lang w:val="lv-LV"/>
        </w:rPr>
        <w:t>9.2.2.1. “Deinstituci</w:t>
      </w:r>
      <w:r>
        <w:rPr>
          <w:lang w:val="lv-LV"/>
        </w:rPr>
        <w:t>on</w:t>
      </w:r>
      <w:r w:rsidRPr="00B86D87">
        <w:rPr>
          <w:lang w:val="lv-LV"/>
        </w:rPr>
        <w:t xml:space="preserve">alizācija” ietvaros izveidoto grupu māju atbilstību prasībām. Apmeklējot vairākas grupu mājas, sākotnējais novērojums liecina, ka </w:t>
      </w:r>
      <w:r w:rsidR="00692075">
        <w:rPr>
          <w:lang w:val="lv-LV"/>
        </w:rPr>
        <w:t>tās</w:t>
      </w:r>
      <w:r w:rsidRPr="00B86D87">
        <w:rPr>
          <w:lang w:val="lv-LV"/>
        </w:rPr>
        <w:t xml:space="preserve"> ir izveidota</w:t>
      </w:r>
      <w:r w:rsidR="00692075">
        <w:rPr>
          <w:lang w:val="lv-LV"/>
        </w:rPr>
        <w:t>s</w:t>
      </w:r>
      <w:r w:rsidRPr="00B86D87">
        <w:rPr>
          <w:lang w:val="lv-LV"/>
        </w:rPr>
        <w:t xml:space="preserve"> </w:t>
      </w:r>
      <w:proofErr w:type="spellStart"/>
      <w:r w:rsidRPr="00B86D87">
        <w:rPr>
          <w:lang w:val="lv-LV"/>
        </w:rPr>
        <w:t>segregētā</w:t>
      </w:r>
      <w:proofErr w:type="spellEnd"/>
      <w:r w:rsidRPr="00B86D87">
        <w:rPr>
          <w:lang w:val="lv-LV"/>
        </w:rPr>
        <w:t xml:space="preserve"> vidē, </w:t>
      </w:r>
      <w:proofErr w:type="spellStart"/>
      <w:r w:rsidRPr="00B86D87">
        <w:rPr>
          <w:lang w:val="lv-LV"/>
        </w:rPr>
        <w:t>piekļūstamība</w:t>
      </w:r>
      <w:proofErr w:type="spellEnd"/>
      <w:r w:rsidRPr="00B86D87">
        <w:rPr>
          <w:lang w:val="lv-LV"/>
        </w:rPr>
        <w:t xml:space="preserve"> tiek nodrošināta ēku pirmajos stāvos, bet ne pārējos, kaut gan aktīvāka sabiedriskā dzīve norit tieši augstākajos ēkas stāvos. Līdz ar to cilvēks ar kustību traucējumiem tiek izolēts. Pētījums vēl ir izstrādes stadijā, pēc tā pabeigšanas atbildīgās institūcijas tiks informētas par secinājumiem.</w:t>
      </w:r>
    </w:p>
    <w:p w14:paraId="35843E03" w14:textId="77777777" w:rsidR="00F41D84" w:rsidRPr="007641AD" w:rsidRDefault="00F41D84" w:rsidP="00A7008D">
      <w:pPr>
        <w:tabs>
          <w:tab w:val="center" w:pos="709"/>
          <w:tab w:val="center" w:pos="4680"/>
          <w:tab w:val="right" w:pos="9360"/>
        </w:tabs>
        <w:spacing w:before="120" w:line="276" w:lineRule="auto"/>
        <w:ind w:left="0"/>
        <w:rPr>
          <w:rFonts w:eastAsia="Calibri"/>
          <w:b/>
          <w:bCs/>
          <w:lang w:val="lv-LV"/>
        </w:rPr>
      </w:pPr>
      <w:r w:rsidRPr="007641AD">
        <w:rPr>
          <w:rFonts w:eastAsia="Calibri"/>
          <w:b/>
          <w:bCs/>
          <w:lang w:val="lv-LV"/>
        </w:rPr>
        <w:t>Latvijas Republikas tiesībsarga 2024. gada ziņojums</w:t>
      </w:r>
      <w:r w:rsidRPr="007641AD">
        <w:rPr>
          <w:rStyle w:val="FootnoteReference"/>
          <w:rFonts w:eastAsia="Calibri"/>
          <w:b/>
          <w:bCs/>
          <w:lang w:val="lv-LV"/>
        </w:rPr>
        <w:footnoteReference w:id="5"/>
      </w:r>
    </w:p>
    <w:p w14:paraId="2D4BD674" w14:textId="39B91C46" w:rsidR="00F41D84" w:rsidRPr="00B86D87" w:rsidRDefault="00F41D84" w:rsidP="00A7008D">
      <w:pPr>
        <w:tabs>
          <w:tab w:val="center" w:pos="709"/>
          <w:tab w:val="center" w:pos="4680"/>
          <w:tab w:val="right" w:pos="9360"/>
        </w:tabs>
        <w:spacing w:before="120" w:line="276" w:lineRule="auto"/>
        <w:ind w:left="0"/>
        <w:rPr>
          <w:rFonts w:eastAsia="Calibri"/>
          <w:lang w:val="lv-LV"/>
        </w:rPr>
      </w:pPr>
      <w:r>
        <w:rPr>
          <w:rFonts w:eastAsia="Calibri"/>
          <w:lang w:val="lv-LV"/>
        </w:rPr>
        <w:t xml:space="preserve">Kopējo situāciju valstī diskriminācijas jomā raksturo </w:t>
      </w:r>
      <w:r w:rsidR="00692075">
        <w:rPr>
          <w:rFonts w:eastAsia="Calibri"/>
          <w:lang w:val="lv-LV"/>
        </w:rPr>
        <w:t xml:space="preserve">LR </w:t>
      </w:r>
      <w:proofErr w:type="spellStart"/>
      <w:r w:rsidR="00692075">
        <w:rPr>
          <w:rFonts w:eastAsia="Calibri"/>
          <w:lang w:val="lv-LV"/>
        </w:rPr>
        <w:t>t</w:t>
      </w:r>
      <w:r w:rsidRPr="00206DFD">
        <w:rPr>
          <w:rFonts w:eastAsia="Calibri"/>
          <w:lang w:val="lv-LV"/>
        </w:rPr>
        <w:t>iesībsarg</w:t>
      </w:r>
      <w:r>
        <w:rPr>
          <w:rFonts w:eastAsia="Calibri"/>
          <w:lang w:val="lv-LV"/>
        </w:rPr>
        <w:t>a</w:t>
      </w:r>
      <w:proofErr w:type="spellEnd"/>
      <w:r w:rsidRPr="00206DFD">
        <w:rPr>
          <w:rFonts w:eastAsia="Calibri"/>
          <w:lang w:val="lv-LV"/>
        </w:rPr>
        <w:t xml:space="preserve"> 2024.</w:t>
      </w:r>
      <w:r w:rsidR="00692075">
        <w:rPr>
          <w:rFonts w:eastAsia="Calibri"/>
          <w:lang w:val="lv-LV"/>
        </w:rPr>
        <w:t xml:space="preserve"> </w:t>
      </w:r>
      <w:r w:rsidRPr="00206DFD">
        <w:rPr>
          <w:rFonts w:eastAsia="Calibri"/>
          <w:lang w:val="lv-LV"/>
        </w:rPr>
        <w:t>gada ziņojumā norād</w:t>
      </w:r>
      <w:r>
        <w:rPr>
          <w:rFonts w:eastAsia="Calibri"/>
          <w:lang w:val="lv-LV"/>
        </w:rPr>
        <w:t>ītais</w:t>
      </w:r>
      <w:r w:rsidRPr="00206DFD">
        <w:rPr>
          <w:rFonts w:eastAsia="Calibri"/>
          <w:lang w:val="lv-LV"/>
        </w:rPr>
        <w:t>,</w:t>
      </w:r>
      <w:r w:rsidRPr="00B86D87">
        <w:rPr>
          <w:rFonts w:eastAsia="Calibri"/>
          <w:lang w:val="lv-LV"/>
        </w:rPr>
        <w:t xml:space="preserve"> ka 2024.</w:t>
      </w:r>
      <w:r w:rsidR="00692075">
        <w:rPr>
          <w:rFonts w:eastAsia="Calibri"/>
          <w:lang w:val="lv-LV"/>
        </w:rPr>
        <w:t xml:space="preserve"> </w:t>
      </w:r>
      <w:r w:rsidRPr="00B86D87">
        <w:rPr>
          <w:rFonts w:eastAsia="Calibri"/>
          <w:lang w:val="lv-LV"/>
        </w:rPr>
        <w:t>gadā ir saņemti 74 iedzīvotāju iesniegum</w:t>
      </w:r>
      <w:r>
        <w:rPr>
          <w:rFonts w:eastAsia="Calibri"/>
          <w:lang w:val="lv-LV"/>
        </w:rPr>
        <w:t>i</w:t>
      </w:r>
      <w:r w:rsidRPr="00B86D87">
        <w:rPr>
          <w:rFonts w:eastAsia="Calibri"/>
          <w:lang w:val="lv-LV"/>
        </w:rPr>
        <w:t xml:space="preserve"> un 48 valsts institūciju un starptautisku organizāciju pieteikumi, kas kopumā skāra 222 gadījumus saistībā ar diskrimināciju. Šis rādītājs ir ievērojami augstāks nekā 2023. gadā par diskriminācijas aizlieguma pārkāpumiem saņemto iesniegumu skaits</w:t>
      </w:r>
      <w:r w:rsidR="00112B24">
        <w:rPr>
          <w:rStyle w:val="FootnoteReference"/>
          <w:rFonts w:eastAsia="Calibri"/>
          <w:lang w:val="lv-LV"/>
        </w:rPr>
        <w:footnoteReference w:id="6"/>
      </w:r>
      <w:r w:rsidRPr="00B86D87">
        <w:rPr>
          <w:rFonts w:eastAsia="Calibri"/>
          <w:lang w:val="lv-LV"/>
        </w:rPr>
        <w:t xml:space="preserve">, attiecīgi veidojot pieaugumu par </w:t>
      </w:r>
      <w:r w:rsidRPr="00112B24">
        <w:rPr>
          <w:rFonts w:eastAsia="Calibri"/>
          <w:lang w:val="lv-LV"/>
        </w:rPr>
        <w:t>1009%.</w:t>
      </w:r>
      <w:r w:rsidRPr="00B86D87">
        <w:rPr>
          <w:rFonts w:eastAsia="Calibri"/>
          <w:lang w:val="lv-LV"/>
        </w:rPr>
        <w:t xml:space="preserve"> Pieprasījums pēc </w:t>
      </w:r>
      <w:proofErr w:type="spellStart"/>
      <w:r w:rsidRPr="00B86D87">
        <w:rPr>
          <w:rFonts w:eastAsia="Calibri"/>
          <w:lang w:val="lv-LV"/>
        </w:rPr>
        <w:t>tiesībsarga</w:t>
      </w:r>
      <w:proofErr w:type="spellEnd"/>
      <w:r w:rsidRPr="00B86D87">
        <w:rPr>
          <w:rFonts w:eastAsia="Calibri"/>
          <w:lang w:val="lv-LV"/>
        </w:rPr>
        <w:t xml:space="preserve"> iesaistes ar diskriminācijas aizliegumu saistītu jautājumu risināšanā ir strauji pieaudzis, un viens no pieauguma iemesliem varētu būt sabiedrības pastiprinātā interese par savām tiesībām un pieejamajiem tiesiskās aizsardzības mehānismiem</w:t>
      </w:r>
      <w:r>
        <w:rPr>
          <w:rFonts w:eastAsia="Calibri"/>
          <w:lang w:val="lv-LV"/>
        </w:rPr>
        <w:t xml:space="preserve">, sabiedrības izpratnes </w:t>
      </w:r>
      <w:r w:rsidR="00692075">
        <w:rPr>
          <w:rFonts w:eastAsia="Calibri"/>
          <w:lang w:val="lv-LV"/>
        </w:rPr>
        <w:t>kāpums</w:t>
      </w:r>
      <w:r w:rsidRPr="00B86D87">
        <w:rPr>
          <w:rFonts w:eastAsia="Calibri"/>
          <w:lang w:val="lv-LV"/>
        </w:rPr>
        <w:t>.</w:t>
      </w:r>
      <w:r w:rsidRPr="00B86D87">
        <w:rPr>
          <w:lang w:val="lv-LV"/>
        </w:rPr>
        <w:t xml:space="preserve"> </w:t>
      </w:r>
    </w:p>
    <w:p w14:paraId="516EE00E" w14:textId="77777777" w:rsidR="00F41D84" w:rsidRPr="00B86D87" w:rsidRDefault="00F41D84" w:rsidP="00A7008D">
      <w:pPr>
        <w:tabs>
          <w:tab w:val="center" w:pos="709"/>
          <w:tab w:val="center" w:pos="4680"/>
          <w:tab w:val="right" w:pos="9360"/>
        </w:tabs>
        <w:ind w:left="0"/>
        <w:rPr>
          <w:rFonts w:eastAsia="Calibri" w:cs="Arial"/>
          <w:lang w:val="lv-LV"/>
        </w:rPr>
      </w:pPr>
    </w:p>
    <w:p w14:paraId="2596509B" w14:textId="02A2E0DE" w:rsidR="00F41D84" w:rsidRPr="005C5793" w:rsidRDefault="00F41D84" w:rsidP="00A7008D">
      <w:pPr>
        <w:spacing w:after="160"/>
        <w:ind w:left="0"/>
        <w:rPr>
          <w:rFonts w:cs="Arial"/>
          <w:lang w:val="lv-LV"/>
        </w:rPr>
      </w:pPr>
      <w:bookmarkStart w:id="14" w:name="_Hlk210121908"/>
      <w:r w:rsidRPr="005C5793">
        <w:rPr>
          <w:rFonts w:cs="Arial"/>
          <w:b/>
          <w:bCs/>
          <w:lang w:val="lv-LV"/>
        </w:rPr>
        <w:t xml:space="preserve">LM </w:t>
      </w:r>
      <w:r>
        <w:rPr>
          <w:rFonts w:cs="Arial"/>
          <w:b/>
          <w:bCs/>
          <w:lang w:val="lv-LV"/>
        </w:rPr>
        <w:t xml:space="preserve">pārskata periodā </w:t>
      </w:r>
      <w:r w:rsidRPr="000253B1">
        <w:rPr>
          <w:rFonts w:cs="Arial"/>
          <w:b/>
          <w:bCs/>
          <w:lang w:val="lv-LV"/>
        </w:rPr>
        <w:t>ziņoja CFLA</w:t>
      </w:r>
      <w:r w:rsidRPr="005C5793">
        <w:rPr>
          <w:rFonts w:cs="Arial"/>
          <w:lang w:val="lv-LV"/>
        </w:rPr>
        <w:t xml:space="preserve"> </w:t>
      </w:r>
      <w:r w:rsidRPr="000253B1">
        <w:rPr>
          <w:rFonts w:cs="Arial"/>
          <w:b/>
          <w:bCs/>
          <w:lang w:val="lv-LV"/>
        </w:rPr>
        <w:t>par iespējamām neatbilstībām attiecībā uz piekļūstamības nenodrošināšanu personām ar invaliditāti</w:t>
      </w:r>
      <w:r w:rsidRPr="005C5793">
        <w:rPr>
          <w:rFonts w:cs="Arial"/>
          <w:lang w:val="lv-LV"/>
        </w:rPr>
        <w:t xml:space="preserve"> (redzes, dzirdes, kustību un garīga rakstura)</w:t>
      </w:r>
      <w:r w:rsidRPr="005C5793">
        <w:rPr>
          <w:rFonts w:cs="Arial"/>
          <w:b/>
          <w:bCs/>
          <w:lang w:val="lv-LV"/>
        </w:rPr>
        <w:t xml:space="preserve"> </w:t>
      </w:r>
      <w:r w:rsidRPr="005C5793">
        <w:rPr>
          <w:rFonts w:cs="Arial"/>
          <w:lang w:val="lv-LV"/>
        </w:rPr>
        <w:t>ERAF un KF līdzfinansētajos projektos.</w:t>
      </w:r>
      <w:bookmarkEnd w:id="14"/>
      <w:r w:rsidRPr="005C5793">
        <w:rPr>
          <w:rFonts w:cs="Arial"/>
          <w:b/>
          <w:bCs/>
          <w:lang w:val="lv-LV"/>
        </w:rPr>
        <w:t xml:space="preserve"> </w:t>
      </w:r>
      <w:r w:rsidRPr="005C5793">
        <w:rPr>
          <w:rFonts w:cs="Arial"/>
          <w:lang w:val="lv-LV"/>
        </w:rPr>
        <w:t>LM uzdevumā Latvijas Cilvēku ar īpašām vajadzībām sadarbības organizācija SUSTENTO 2018.</w:t>
      </w:r>
      <w:r w:rsidR="00692075">
        <w:rPr>
          <w:rFonts w:cs="Arial"/>
          <w:lang w:val="lv-LV"/>
        </w:rPr>
        <w:t> </w:t>
      </w:r>
      <w:r w:rsidRPr="005C5793">
        <w:rPr>
          <w:rFonts w:cs="Arial"/>
          <w:lang w:val="lv-LV"/>
        </w:rPr>
        <w:t xml:space="preserve">gadā īstenoja vides un informācijas piekļūstamības konsultācijas 60 ERAF un KF projektu īstenotājiem, konstatējot, ka gandrīz katrā no tiem atrodamas lielākas vai mazākas atkāpes attiecībā uz vides </w:t>
      </w:r>
      <w:proofErr w:type="spellStart"/>
      <w:r w:rsidRPr="005C5793">
        <w:rPr>
          <w:rFonts w:cs="Arial"/>
          <w:lang w:val="lv-LV"/>
        </w:rPr>
        <w:t>piekļūstamību</w:t>
      </w:r>
      <w:proofErr w:type="spellEnd"/>
      <w:r w:rsidRPr="005C5793">
        <w:rPr>
          <w:rFonts w:cs="Arial"/>
          <w:lang w:val="lv-LV"/>
        </w:rPr>
        <w:t xml:space="preserve"> vai arī </w:t>
      </w:r>
      <w:proofErr w:type="spellStart"/>
      <w:r w:rsidRPr="005C5793">
        <w:rPr>
          <w:rFonts w:cs="Arial"/>
          <w:lang w:val="lv-LV"/>
        </w:rPr>
        <w:t>piekļūstamības</w:t>
      </w:r>
      <w:proofErr w:type="spellEnd"/>
      <w:r w:rsidRPr="005C5793">
        <w:rPr>
          <w:rFonts w:cs="Arial"/>
          <w:lang w:val="lv-LV"/>
        </w:rPr>
        <w:t xml:space="preserve"> prasības ir ievērotas tikai formāli. Savukārt 2021.</w:t>
      </w:r>
      <w:r w:rsidR="00E754F0">
        <w:rPr>
          <w:rFonts w:eastAsia="Calibri"/>
          <w:color w:val="000000"/>
          <w:lang w:val="lv-LV"/>
        </w:rPr>
        <w:t>–</w:t>
      </w:r>
      <w:r w:rsidRPr="005C5793">
        <w:rPr>
          <w:rFonts w:cs="Arial"/>
          <w:lang w:val="lv-LV"/>
        </w:rPr>
        <w:t>2023.gadā tika īstenotas 120 konsultācijas par vides piekļūstamības prasību nodrošināšanu, konstatējot iespējamās neatbilstības 14 projektos 2021.</w:t>
      </w:r>
      <w:r w:rsidR="00E754F0">
        <w:rPr>
          <w:rFonts w:cs="Arial"/>
          <w:lang w:val="lv-LV"/>
        </w:rPr>
        <w:t> </w:t>
      </w:r>
      <w:r w:rsidRPr="005C5793">
        <w:rPr>
          <w:rFonts w:cs="Arial"/>
          <w:lang w:val="lv-LV"/>
        </w:rPr>
        <w:t>gadā un 16 projektos 2022.</w:t>
      </w:r>
      <w:r w:rsidR="00E754F0">
        <w:rPr>
          <w:rFonts w:eastAsia="Calibri"/>
          <w:color w:val="000000"/>
          <w:lang w:val="lv-LV"/>
        </w:rPr>
        <w:t>–</w:t>
      </w:r>
      <w:r w:rsidRPr="005C5793">
        <w:rPr>
          <w:rFonts w:cs="Arial"/>
          <w:lang w:val="lv-LV"/>
        </w:rPr>
        <w:t>2023.</w:t>
      </w:r>
      <w:r w:rsidR="00E754F0">
        <w:rPr>
          <w:rFonts w:cs="Arial"/>
          <w:lang w:val="lv-LV"/>
        </w:rPr>
        <w:t> </w:t>
      </w:r>
      <w:r w:rsidRPr="005C5793">
        <w:rPr>
          <w:rFonts w:cs="Arial"/>
          <w:lang w:val="lv-LV"/>
        </w:rPr>
        <w:t>gadā</w:t>
      </w:r>
      <w:r w:rsidRPr="005C5793">
        <w:rPr>
          <w:rStyle w:val="FootnoteReference"/>
          <w:rFonts w:cs="Arial"/>
          <w:lang w:val="lv-LV"/>
        </w:rPr>
        <w:footnoteReference w:id="7"/>
      </w:r>
      <w:r w:rsidRPr="005C5793">
        <w:rPr>
          <w:rFonts w:cs="Arial"/>
          <w:lang w:val="lv-LV"/>
        </w:rPr>
        <w:t xml:space="preserve">, par ko LM informēja CFLA. </w:t>
      </w:r>
      <w:bookmarkStart w:id="15" w:name="_Hlk210121972"/>
      <w:r w:rsidRPr="005C5793">
        <w:rPr>
          <w:rFonts w:cs="Arial"/>
          <w:lang w:val="lv-LV"/>
        </w:rPr>
        <w:t>Veicot pārbaudes projektu īstenošanas vietās, CFLA atzina, ka pārkāpumi ir novērsti un neatbilstību minētajos projektos nav.</w:t>
      </w:r>
      <w:bookmarkEnd w:id="15"/>
    </w:p>
    <w:sectPr w:rsidR="00F41D84" w:rsidRPr="005C5793" w:rsidSect="003E736B">
      <w:footerReference w:type="default" r:id="rId8"/>
      <w:pgSz w:w="11906" w:h="16838"/>
      <w:pgMar w:top="1440" w:right="1133" w:bottom="1440"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813946" w16cex:dateUtc="2025-09-26T13:09:00Z"/>
  <w16cex:commentExtensible w16cex:durableId="2C7FEFEC" w16cex:dateUtc="2025-09-25T13: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B2446" w14:textId="77777777" w:rsidR="00F41D84" w:rsidRDefault="00F41D84" w:rsidP="00F41D84">
      <w:pPr>
        <w:spacing w:line="240" w:lineRule="auto"/>
      </w:pPr>
      <w:r>
        <w:separator/>
      </w:r>
    </w:p>
  </w:endnote>
  <w:endnote w:type="continuationSeparator" w:id="0">
    <w:p w14:paraId="7F3190BC" w14:textId="77777777" w:rsidR="00F41D84" w:rsidRDefault="00F41D84" w:rsidP="00F41D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15000"/>
      <w:docPartObj>
        <w:docPartGallery w:val="Page Numbers (Bottom of Page)"/>
        <w:docPartUnique/>
      </w:docPartObj>
    </w:sdtPr>
    <w:sdtEndPr>
      <w:rPr>
        <w:noProof/>
      </w:rPr>
    </w:sdtEndPr>
    <w:sdtContent>
      <w:p w14:paraId="2978327B" w14:textId="345D7184" w:rsidR="00EE229E" w:rsidRDefault="00EE229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BF41E9" w14:textId="77777777" w:rsidR="00EE229E" w:rsidRDefault="00EE22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E840D" w14:textId="77777777" w:rsidR="00F41D84" w:rsidRDefault="00F41D84" w:rsidP="00F41D84">
      <w:pPr>
        <w:spacing w:line="240" w:lineRule="auto"/>
      </w:pPr>
      <w:r>
        <w:separator/>
      </w:r>
    </w:p>
  </w:footnote>
  <w:footnote w:type="continuationSeparator" w:id="0">
    <w:p w14:paraId="77D43689" w14:textId="77777777" w:rsidR="00F41D84" w:rsidRDefault="00F41D84" w:rsidP="00F41D84">
      <w:pPr>
        <w:spacing w:line="240" w:lineRule="auto"/>
      </w:pPr>
      <w:r>
        <w:continuationSeparator/>
      </w:r>
    </w:p>
  </w:footnote>
  <w:footnote w:id="1">
    <w:p w14:paraId="4000211E" w14:textId="6C1BE0DC" w:rsidR="00F41D84" w:rsidRDefault="00F41D84" w:rsidP="00F41D84">
      <w:pPr>
        <w:pStyle w:val="FootnoteText"/>
      </w:pPr>
      <w:r>
        <w:rPr>
          <w:rStyle w:val="FootnoteReference"/>
        </w:rPr>
        <w:footnoteRef/>
      </w:r>
      <w:r>
        <w:t xml:space="preserve"> LM </w:t>
      </w:r>
      <w:r w:rsidRPr="00261C70">
        <w:t xml:space="preserve">08.07.2025. </w:t>
      </w:r>
      <w:r w:rsidRPr="00605DAA">
        <w:rPr>
          <w:lang w:val="lv-LV"/>
        </w:rPr>
        <w:t>vēstule Nr. 30-2-01/1014 par informācijas sniegšanu par iestādes rīcībā esošo informāciju par konstatētajiem pārkāpumiem vai neatbilstībām ES fondu līdzfinansētajos projektos par laika periodu no 2022.</w:t>
      </w:r>
      <w:r w:rsidR="00485040">
        <w:rPr>
          <w:lang w:val="lv-LV"/>
        </w:rPr>
        <w:t xml:space="preserve"> </w:t>
      </w:r>
      <w:r w:rsidRPr="00605DAA">
        <w:rPr>
          <w:lang w:val="lv-LV"/>
        </w:rPr>
        <w:t>gada 26.</w:t>
      </w:r>
      <w:r w:rsidR="00485040">
        <w:rPr>
          <w:lang w:val="lv-LV"/>
        </w:rPr>
        <w:t xml:space="preserve"> </w:t>
      </w:r>
      <w:r w:rsidRPr="00605DAA">
        <w:rPr>
          <w:lang w:val="lv-LV"/>
        </w:rPr>
        <w:t>septembra līdz programmas slēgšanai</w:t>
      </w:r>
      <w:r w:rsidR="00485040">
        <w:rPr>
          <w:lang w:val="lv-LV"/>
        </w:rPr>
        <w:t>.</w:t>
      </w:r>
    </w:p>
  </w:footnote>
  <w:footnote w:id="2">
    <w:p w14:paraId="60035AC2" w14:textId="77777777" w:rsidR="00F41D84" w:rsidRPr="00B67E3C" w:rsidRDefault="00F41D84" w:rsidP="00F41D84">
      <w:pPr>
        <w:pStyle w:val="FootnoteText"/>
      </w:pPr>
      <w:bookmarkStart w:id="10" w:name="_Hlk210122340"/>
      <w:r>
        <w:rPr>
          <w:rStyle w:val="FootnoteReference"/>
        </w:rPr>
        <w:footnoteRef/>
      </w:r>
      <w:r>
        <w:t xml:space="preserve"> </w:t>
      </w:r>
      <w:hyperlink r:id="rId1" w:history="1">
        <w:proofErr w:type="spellStart"/>
        <w:r w:rsidRPr="00B67E3C">
          <w:rPr>
            <w:rStyle w:val="Hyperlink"/>
          </w:rPr>
          <w:t>Atzinums</w:t>
        </w:r>
        <w:proofErr w:type="spellEnd"/>
        <w:r w:rsidRPr="00B67E3C">
          <w:rPr>
            <w:rStyle w:val="Hyperlink"/>
          </w:rPr>
          <w:t xml:space="preserve"> </w:t>
        </w:r>
        <w:proofErr w:type="spellStart"/>
        <w:r w:rsidRPr="00B67E3C">
          <w:rPr>
            <w:rStyle w:val="Hyperlink"/>
          </w:rPr>
          <w:t>pārbaudes</w:t>
        </w:r>
        <w:proofErr w:type="spellEnd"/>
        <w:r w:rsidRPr="00B67E3C">
          <w:rPr>
            <w:rStyle w:val="Hyperlink"/>
          </w:rPr>
          <w:t xml:space="preserve"> </w:t>
        </w:r>
        <w:proofErr w:type="spellStart"/>
        <w:r w:rsidRPr="00B67E3C">
          <w:rPr>
            <w:rStyle w:val="Hyperlink"/>
          </w:rPr>
          <w:t>lietā</w:t>
        </w:r>
        <w:proofErr w:type="spellEnd"/>
        <w:r w:rsidRPr="00B67E3C">
          <w:rPr>
            <w:rStyle w:val="Hyperlink"/>
          </w:rPr>
          <w:t xml:space="preserve"> Nr. 2022-55-26D par </w:t>
        </w:r>
        <w:proofErr w:type="spellStart"/>
        <w:r w:rsidRPr="00B67E3C">
          <w:rPr>
            <w:rStyle w:val="Hyperlink"/>
          </w:rPr>
          <w:t>diskriminācijas</w:t>
        </w:r>
        <w:proofErr w:type="spellEnd"/>
        <w:r w:rsidRPr="00B67E3C">
          <w:rPr>
            <w:rStyle w:val="Hyperlink"/>
          </w:rPr>
          <w:t xml:space="preserve"> </w:t>
        </w:r>
        <w:proofErr w:type="spellStart"/>
        <w:r w:rsidRPr="00B67E3C">
          <w:rPr>
            <w:rStyle w:val="Hyperlink"/>
          </w:rPr>
          <w:t>aizlieguma</w:t>
        </w:r>
        <w:proofErr w:type="spellEnd"/>
        <w:r w:rsidRPr="00B67E3C">
          <w:rPr>
            <w:rStyle w:val="Hyperlink"/>
          </w:rPr>
          <w:t xml:space="preserve"> </w:t>
        </w:r>
        <w:proofErr w:type="spellStart"/>
        <w:r w:rsidRPr="00B67E3C">
          <w:rPr>
            <w:rStyle w:val="Hyperlink"/>
          </w:rPr>
          <w:t>pārkāpumu</w:t>
        </w:r>
        <w:proofErr w:type="spellEnd"/>
        <w:r w:rsidRPr="00B67E3C">
          <w:rPr>
            <w:rStyle w:val="Hyperlink"/>
          </w:rPr>
          <w:t xml:space="preserve"> </w:t>
        </w:r>
        <w:proofErr w:type="spellStart"/>
        <w:r w:rsidRPr="00B67E3C">
          <w:rPr>
            <w:rStyle w:val="Hyperlink"/>
          </w:rPr>
          <w:t>dzimuma</w:t>
        </w:r>
        <w:proofErr w:type="spellEnd"/>
        <w:r w:rsidRPr="00B67E3C">
          <w:rPr>
            <w:rStyle w:val="Hyperlink"/>
          </w:rPr>
          <w:t xml:space="preserve"> </w:t>
        </w:r>
        <w:proofErr w:type="spellStart"/>
        <w:r w:rsidRPr="00B67E3C">
          <w:rPr>
            <w:rStyle w:val="Hyperlink"/>
          </w:rPr>
          <w:t>dēļ</w:t>
        </w:r>
        <w:proofErr w:type="spellEnd"/>
        <w:r w:rsidRPr="00B67E3C">
          <w:rPr>
            <w:rStyle w:val="Hyperlink"/>
          </w:rPr>
          <w:t xml:space="preserve"> ES </w:t>
        </w:r>
        <w:proofErr w:type="spellStart"/>
        <w:r w:rsidRPr="00B67E3C">
          <w:rPr>
            <w:rStyle w:val="Hyperlink"/>
          </w:rPr>
          <w:t>struktūrfondu</w:t>
        </w:r>
        <w:proofErr w:type="spellEnd"/>
        <w:r w:rsidRPr="00B67E3C">
          <w:rPr>
            <w:rStyle w:val="Hyperlink"/>
          </w:rPr>
          <w:t xml:space="preserve"> </w:t>
        </w:r>
        <w:proofErr w:type="spellStart"/>
        <w:r w:rsidRPr="00B67E3C">
          <w:rPr>
            <w:rStyle w:val="Hyperlink"/>
          </w:rPr>
          <w:t>izlietojumā</w:t>
        </w:r>
        <w:proofErr w:type="spellEnd"/>
      </w:hyperlink>
      <w:r w:rsidRPr="00B67E3C">
        <w:rPr>
          <w:rStyle w:val="Hyperlink"/>
        </w:rPr>
        <w:t xml:space="preserve">. </w:t>
      </w:r>
      <w:proofErr w:type="spellStart"/>
      <w:r w:rsidRPr="00B67E3C">
        <w:rPr>
          <w:rStyle w:val="Hyperlink"/>
        </w:rPr>
        <w:t>Informāciju</w:t>
      </w:r>
      <w:proofErr w:type="spellEnd"/>
      <w:r w:rsidRPr="00B67E3C">
        <w:rPr>
          <w:rStyle w:val="Hyperlink"/>
        </w:rPr>
        <w:t xml:space="preserve"> par </w:t>
      </w:r>
      <w:proofErr w:type="spellStart"/>
      <w:r w:rsidRPr="00B67E3C">
        <w:rPr>
          <w:rStyle w:val="Hyperlink"/>
        </w:rPr>
        <w:t>minēto</w:t>
      </w:r>
      <w:proofErr w:type="spellEnd"/>
      <w:r w:rsidRPr="00B67E3C">
        <w:rPr>
          <w:rStyle w:val="Hyperlink"/>
        </w:rPr>
        <w:t xml:space="preserve"> </w:t>
      </w:r>
      <w:proofErr w:type="spellStart"/>
      <w:r w:rsidRPr="00B67E3C">
        <w:rPr>
          <w:rStyle w:val="Hyperlink"/>
        </w:rPr>
        <w:t>lietu</w:t>
      </w:r>
      <w:proofErr w:type="spellEnd"/>
      <w:r w:rsidRPr="00B67E3C">
        <w:rPr>
          <w:rStyle w:val="Hyperlink"/>
        </w:rPr>
        <w:t xml:space="preserve"> </w:t>
      </w:r>
      <w:proofErr w:type="spellStart"/>
      <w:r w:rsidRPr="00B67E3C">
        <w:rPr>
          <w:rStyle w:val="Hyperlink"/>
        </w:rPr>
        <w:t>sniedza</w:t>
      </w:r>
      <w:proofErr w:type="spellEnd"/>
      <w:r w:rsidRPr="00B67E3C">
        <w:rPr>
          <w:rStyle w:val="Hyperlink"/>
        </w:rPr>
        <w:t xml:space="preserve"> </w:t>
      </w:r>
      <w:proofErr w:type="spellStart"/>
      <w:r w:rsidRPr="00B67E3C">
        <w:rPr>
          <w:rStyle w:val="Hyperlink"/>
        </w:rPr>
        <w:t>arī</w:t>
      </w:r>
      <w:proofErr w:type="spellEnd"/>
      <w:r w:rsidRPr="00B67E3C">
        <w:rPr>
          <w:rStyle w:val="Hyperlink"/>
        </w:rPr>
        <w:t xml:space="preserve"> FM un IZM.</w:t>
      </w:r>
    </w:p>
    <w:bookmarkEnd w:id="10"/>
  </w:footnote>
  <w:footnote w:id="3">
    <w:p w14:paraId="7BBD9CAA" w14:textId="70EDB503" w:rsidR="00F41D84" w:rsidRPr="007E416A" w:rsidRDefault="00F41D84" w:rsidP="00F41D84">
      <w:pPr>
        <w:shd w:val="clear" w:color="auto" w:fill="FFFFFF"/>
        <w:rPr>
          <w:bCs/>
          <w:color w:val="414142"/>
          <w:sz w:val="20"/>
          <w:szCs w:val="20"/>
        </w:rPr>
      </w:pPr>
      <w:r w:rsidRPr="007E416A">
        <w:rPr>
          <w:rStyle w:val="FootnoteReference"/>
          <w:sz w:val="20"/>
          <w:szCs w:val="20"/>
        </w:rPr>
        <w:footnoteRef/>
      </w:r>
      <w:r w:rsidRPr="007E416A">
        <w:rPr>
          <w:sz w:val="20"/>
          <w:szCs w:val="20"/>
        </w:rPr>
        <w:t xml:space="preserve"> MK 09.01.2024. </w:t>
      </w:r>
      <w:r w:rsidRPr="007E416A">
        <w:rPr>
          <w:sz w:val="20"/>
          <w:szCs w:val="20"/>
          <w:lang w:val="lv-LV"/>
        </w:rPr>
        <w:t>noteikumi Nr. 35 “</w:t>
      </w:r>
      <w:r w:rsidRPr="007E416A">
        <w:rPr>
          <w:bCs/>
          <w:color w:val="414142"/>
          <w:sz w:val="20"/>
          <w:szCs w:val="20"/>
          <w:lang w:val="lv-LV"/>
        </w:rPr>
        <w:t>Eiropas Savienības kohēzijas politikas programmas 2021.–2027. gadam 1.1.1. specifiskā atbalsta mērķa "Pētniecības un inovāciju kapacitātes stiprināšana un progresīvu tehnoloģiju ieviešana kopējā P&amp;A sistēmā" 1.1.1.9. pasākuma "</w:t>
      </w:r>
      <w:proofErr w:type="spellStart"/>
      <w:r w:rsidRPr="007E416A">
        <w:rPr>
          <w:bCs/>
          <w:color w:val="414142"/>
          <w:sz w:val="20"/>
          <w:szCs w:val="20"/>
          <w:lang w:val="lv-LV"/>
        </w:rPr>
        <w:t>Pēcdoktorantūras</w:t>
      </w:r>
      <w:proofErr w:type="spellEnd"/>
      <w:r w:rsidRPr="007E416A">
        <w:rPr>
          <w:bCs/>
          <w:color w:val="414142"/>
          <w:sz w:val="20"/>
          <w:szCs w:val="20"/>
          <w:lang w:val="lv-LV"/>
        </w:rPr>
        <w:t xml:space="preserve"> pētījumi" īstenošanas noteikumi</w:t>
      </w:r>
      <w:r w:rsidRPr="007E416A">
        <w:rPr>
          <w:sz w:val="20"/>
          <w:szCs w:val="20"/>
          <w:lang w:val="lv-LV"/>
        </w:rPr>
        <w:t>”</w:t>
      </w:r>
      <w:r w:rsidR="00692075">
        <w:rPr>
          <w:sz w:val="20"/>
          <w:szCs w:val="20"/>
          <w:lang w:val="lv-LV"/>
        </w:rPr>
        <w:t>.</w:t>
      </w:r>
    </w:p>
  </w:footnote>
  <w:footnote w:id="4">
    <w:p w14:paraId="34301DF2" w14:textId="3CF0CB28" w:rsidR="00F41D84" w:rsidRPr="00D56065" w:rsidRDefault="00F41D84" w:rsidP="00112B24">
      <w:pPr>
        <w:pStyle w:val="FootnoteText"/>
        <w:jc w:val="left"/>
      </w:pPr>
      <w:r w:rsidRPr="00D56065">
        <w:rPr>
          <w:rStyle w:val="FootnoteReference"/>
        </w:rPr>
        <w:footnoteRef/>
      </w:r>
      <w:r w:rsidR="00692075">
        <w:t xml:space="preserve"> </w:t>
      </w:r>
      <w:proofErr w:type="spellStart"/>
      <w:r w:rsidR="00692075">
        <w:t>Skatīt</w:t>
      </w:r>
      <w:proofErr w:type="spellEnd"/>
      <w:r w:rsidR="00692075">
        <w:t xml:space="preserve"> </w:t>
      </w:r>
      <w:proofErr w:type="spellStart"/>
      <w:r w:rsidR="00692075">
        <w:t>šeit</w:t>
      </w:r>
      <w:proofErr w:type="spellEnd"/>
      <w:r w:rsidR="00692075">
        <w:t xml:space="preserve">: </w:t>
      </w:r>
      <w:hyperlink r:id="rId2" w:history="1">
        <w:r w:rsidR="00692075" w:rsidRPr="000B7AC9">
          <w:rPr>
            <w:rStyle w:val="Hyperlink"/>
          </w:rPr>
          <w:t>https://www.tiesibsargs.lv/wp-content/uploads/2024/08/timeklvietnu_pieklustamiba_tehniska_analize.pdf</w:t>
        </w:r>
      </w:hyperlink>
      <w:r w:rsidR="00692075">
        <w:t>.</w:t>
      </w:r>
    </w:p>
  </w:footnote>
  <w:footnote w:id="5">
    <w:p w14:paraId="34F98DE1" w14:textId="0F3CF00D" w:rsidR="00F41D84" w:rsidRPr="00263461" w:rsidRDefault="00F41D84" w:rsidP="00112B24">
      <w:pPr>
        <w:pStyle w:val="FootnoteText"/>
        <w:jc w:val="left"/>
        <w:rPr>
          <w:lang w:val="lv-LV"/>
        </w:rPr>
      </w:pPr>
      <w:r>
        <w:rPr>
          <w:rStyle w:val="FootnoteReference"/>
        </w:rPr>
        <w:footnoteRef/>
      </w:r>
      <w:r>
        <w:t xml:space="preserve"> </w:t>
      </w:r>
      <w:proofErr w:type="spellStart"/>
      <w:r w:rsidR="00E754F0">
        <w:t>Skatīt</w:t>
      </w:r>
      <w:proofErr w:type="spellEnd"/>
      <w:r w:rsidR="00E754F0">
        <w:t xml:space="preserve"> </w:t>
      </w:r>
      <w:proofErr w:type="spellStart"/>
      <w:r w:rsidR="00E754F0">
        <w:t>šeit</w:t>
      </w:r>
      <w:proofErr w:type="spellEnd"/>
      <w:r w:rsidR="00E754F0">
        <w:t xml:space="preserve">: </w:t>
      </w:r>
      <w:hyperlink r:id="rId3" w:history="1">
        <w:r w:rsidR="00E754F0" w:rsidRPr="000B7AC9">
          <w:rPr>
            <w:rStyle w:val="Hyperlink"/>
          </w:rPr>
          <w:t>https://www.tiesibsargs.lv/wp-content/uploads/2025/05/tiesibsarga_2024_gada_zinojums.pdf</w:t>
        </w:r>
      </w:hyperlink>
      <w:r w:rsidR="00E754F0">
        <w:t>.</w:t>
      </w:r>
    </w:p>
  </w:footnote>
  <w:footnote w:id="6">
    <w:p w14:paraId="522507B0" w14:textId="47BB740B" w:rsidR="00112B24" w:rsidRDefault="00112B24" w:rsidP="00112B24">
      <w:pPr>
        <w:pStyle w:val="FootnoteText"/>
        <w:jc w:val="left"/>
      </w:pPr>
      <w:r>
        <w:rPr>
          <w:rStyle w:val="FootnoteReference"/>
        </w:rPr>
        <w:footnoteRef/>
      </w:r>
      <w:r>
        <w:t xml:space="preserve"> </w:t>
      </w:r>
      <w:proofErr w:type="spellStart"/>
      <w:r>
        <w:t>Iepriekš</w:t>
      </w:r>
      <w:proofErr w:type="spellEnd"/>
      <w:r>
        <w:t xml:space="preserve"> </w:t>
      </w:r>
      <w:proofErr w:type="spellStart"/>
      <w:r>
        <w:t>tiesībsargs</w:t>
      </w:r>
      <w:proofErr w:type="spellEnd"/>
      <w:r>
        <w:t xml:space="preserve"> </w:t>
      </w:r>
      <w:proofErr w:type="spellStart"/>
      <w:r>
        <w:t>apkopoja</w:t>
      </w:r>
      <w:proofErr w:type="spellEnd"/>
      <w:r>
        <w:t xml:space="preserve"> </w:t>
      </w:r>
      <w:proofErr w:type="spellStart"/>
      <w:r>
        <w:t>informāciju</w:t>
      </w:r>
      <w:proofErr w:type="spellEnd"/>
      <w:r>
        <w:t xml:space="preserve"> par </w:t>
      </w:r>
      <w:proofErr w:type="spellStart"/>
      <w:r>
        <w:t>dažādiem</w:t>
      </w:r>
      <w:proofErr w:type="spellEnd"/>
      <w:r>
        <w:t xml:space="preserve"> </w:t>
      </w:r>
      <w:proofErr w:type="spellStart"/>
      <w:r>
        <w:t>ar</w:t>
      </w:r>
      <w:proofErr w:type="spellEnd"/>
      <w:r>
        <w:t xml:space="preserve"> </w:t>
      </w:r>
      <w:proofErr w:type="spellStart"/>
      <w:r>
        <w:t>atšķirīgu</w:t>
      </w:r>
      <w:proofErr w:type="spellEnd"/>
      <w:r>
        <w:t xml:space="preserve"> </w:t>
      </w:r>
      <w:proofErr w:type="spellStart"/>
      <w:r>
        <w:t>attieksmi</w:t>
      </w:r>
      <w:proofErr w:type="spellEnd"/>
      <w:r>
        <w:t xml:space="preserve"> </w:t>
      </w:r>
      <w:proofErr w:type="spellStart"/>
      <w:r>
        <w:t>saistītiem</w:t>
      </w:r>
      <w:proofErr w:type="spellEnd"/>
      <w:r>
        <w:t xml:space="preserve"> </w:t>
      </w:r>
      <w:proofErr w:type="spellStart"/>
      <w:r>
        <w:t>pārkāpumiem</w:t>
      </w:r>
      <w:proofErr w:type="spellEnd"/>
      <w:r>
        <w:t xml:space="preserve">, </w:t>
      </w:r>
      <w:proofErr w:type="spellStart"/>
      <w:r>
        <w:t>piemēram</w:t>
      </w:r>
      <w:proofErr w:type="spellEnd"/>
      <w:r>
        <w:t xml:space="preserve">, </w:t>
      </w:r>
      <w:proofErr w:type="spellStart"/>
      <w:r>
        <w:t>tiesiskās</w:t>
      </w:r>
      <w:proofErr w:type="spellEnd"/>
      <w:r>
        <w:t xml:space="preserve"> </w:t>
      </w:r>
      <w:proofErr w:type="spellStart"/>
      <w:r>
        <w:t>vienlīdzības</w:t>
      </w:r>
      <w:proofErr w:type="spellEnd"/>
      <w:r>
        <w:t xml:space="preserve"> </w:t>
      </w:r>
      <w:proofErr w:type="spellStart"/>
      <w:r>
        <w:t>principa</w:t>
      </w:r>
      <w:proofErr w:type="spellEnd"/>
      <w:r>
        <w:t xml:space="preserve"> un </w:t>
      </w:r>
      <w:proofErr w:type="spellStart"/>
      <w:r>
        <w:t>diskriminācijas</w:t>
      </w:r>
      <w:proofErr w:type="spellEnd"/>
      <w:r>
        <w:t xml:space="preserve"> </w:t>
      </w:r>
      <w:proofErr w:type="spellStart"/>
      <w:r>
        <w:t>aizlieguma</w:t>
      </w:r>
      <w:proofErr w:type="spellEnd"/>
      <w:r>
        <w:t xml:space="preserve"> </w:t>
      </w:r>
      <w:proofErr w:type="spellStart"/>
      <w:r>
        <w:t>pārkāpumiem</w:t>
      </w:r>
      <w:proofErr w:type="spellEnd"/>
      <w:r>
        <w:t>,</w:t>
      </w:r>
    </w:p>
    <w:p w14:paraId="12EC246A" w14:textId="71A4C35A" w:rsidR="00112B24" w:rsidRPr="00112B24" w:rsidRDefault="00112B24" w:rsidP="00112B24">
      <w:pPr>
        <w:pStyle w:val="FootnoteText"/>
        <w:jc w:val="left"/>
        <w:rPr>
          <w:lang w:val="en-GB"/>
        </w:rPr>
      </w:pPr>
      <w:proofErr w:type="spellStart"/>
      <w:r>
        <w:t>mobingu</w:t>
      </w:r>
      <w:proofErr w:type="spellEnd"/>
      <w:r>
        <w:t xml:space="preserve"> un </w:t>
      </w:r>
      <w:proofErr w:type="spellStart"/>
      <w:r>
        <w:t>bosingu</w:t>
      </w:r>
      <w:proofErr w:type="spellEnd"/>
      <w:r>
        <w:t xml:space="preserve">. </w:t>
      </w:r>
      <w:proofErr w:type="spellStart"/>
      <w:r>
        <w:t>Attiecīgi</w:t>
      </w:r>
      <w:proofErr w:type="spellEnd"/>
      <w:r>
        <w:t xml:space="preserve"> 2023. </w:t>
      </w:r>
      <w:proofErr w:type="spellStart"/>
      <w:r>
        <w:t>gadā</w:t>
      </w:r>
      <w:proofErr w:type="spellEnd"/>
      <w:r>
        <w:t xml:space="preserve"> </w:t>
      </w:r>
      <w:proofErr w:type="spellStart"/>
      <w:r>
        <w:t>ar</w:t>
      </w:r>
      <w:proofErr w:type="spellEnd"/>
      <w:r>
        <w:t xml:space="preserve"> </w:t>
      </w:r>
      <w:proofErr w:type="spellStart"/>
      <w:r>
        <w:t>atšķirīgu</w:t>
      </w:r>
      <w:proofErr w:type="spellEnd"/>
      <w:r>
        <w:t xml:space="preserve"> </w:t>
      </w:r>
      <w:proofErr w:type="spellStart"/>
      <w:r>
        <w:t>attieksmi</w:t>
      </w:r>
      <w:proofErr w:type="spellEnd"/>
      <w:r>
        <w:t xml:space="preserve"> </w:t>
      </w:r>
      <w:proofErr w:type="spellStart"/>
      <w:r>
        <w:t>saistītu</w:t>
      </w:r>
      <w:proofErr w:type="spellEnd"/>
      <w:r>
        <w:t xml:space="preserve"> </w:t>
      </w:r>
      <w:proofErr w:type="spellStart"/>
      <w:r>
        <w:t>iesniegumu</w:t>
      </w:r>
      <w:proofErr w:type="spellEnd"/>
      <w:r>
        <w:t xml:space="preserve"> </w:t>
      </w:r>
      <w:proofErr w:type="spellStart"/>
      <w:r>
        <w:t>skaits</w:t>
      </w:r>
      <w:proofErr w:type="spellEnd"/>
      <w:r>
        <w:t xml:space="preserve"> </w:t>
      </w:r>
      <w:proofErr w:type="spellStart"/>
      <w:r>
        <w:t>bija</w:t>
      </w:r>
      <w:proofErr w:type="spellEnd"/>
      <w:r>
        <w:t xml:space="preserve"> 58, no </w:t>
      </w:r>
      <w:proofErr w:type="spellStart"/>
      <w:r>
        <w:t>tiem</w:t>
      </w:r>
      <w:proofErr w:type="spellEnd"/>
      <w:r>
        <w:t xml:space="preserve"> 22 </w:t>
      </w:r>
      <w:proofErr w:type="spellStart"/>
      <w:r>
        <w:t>iesniegumi</w:t>
      </w:r>
      <w:proofErr w:type="spellEnd"/>
      <w:r>
        <w:t xml:space="preserve"> par </w:t>
      </w:r>
      <w:proofErr w:type="spellStart"/>
      <w:r>
        <w:t>iespējamiem</w:t>
      </w:r>
      <w:proofErr w:type="spellEnd"/>
      <w:r>
        <w:t xml:space="preserve"> </w:t>
      </w:r>
      <w:proofErr w:type="spellStart"/>
      <w:r>
        <w:t>diskriminācijas</w:t>
      </w:r>
      <w:proofErr w:type="spellEnd"/>
      <w:r>
        <w:t xml:space="preserve"> </w:t>
      </w:r>
      <w:proofErr w:type="spellStart"/>
      <w:r>
        <w:t>aizlieguma</w:t>
      </w:r>
      <w:proofErr w:type="spellEnd"/>
      <w:r>
        <w:t xml:space="preserve"> </w:t>
      </w:r>
      <w:proofErr w:type="spellStart"/>
      <w:r>
        <w:t>pārkāpumiem</w:t>
      </w:r>
      <w:proofErr w:type="spellEnd"/>
      <w:r>
        <w:t>.</w:t>
      </w:r>
    </w:p>
  </w:footnote>
  <w:footnote w:id="7">
    <w:p w14:paraId="64C4B6B8" w14:textId="1EC2E355" w:rsidR="00F41D84" w:rsidRPr="00080A82" w:rsidRDefault="00F41D84" w:rsidP="00F41D84">
      <w:pPr>
        <w:pStyle w:val="FootnoteText"/>
        <w:rPr>
          <w:lang w:val="lv-LV"/>
        </w:rPr>
      </w:pPr>
      <w:r>
        <w:rPr>
          <w:rStyle w:val="FootnoteReference"/>
        </w:rPr>
        <w:footnoteRef/>
      </w:r>
      <w:r>
        <w:t xml:space="preserve"> </w:t>
      </w:r>
      <w:r w:rsidRPr="00605DAA">
        <w:rPr>
          <w:lang w:val="lv-LV"/>
        </w:rPr>
        <w:t xml:space="preserve">Gala ziņojums par vides </w:t>
      </w:r>
      <w:proofErr w:type="spellStart"/>
      <w:r w:rsidRPr="00605DAA">
        <w:rPr>
          <w:lang w:val="lv-LV"/>
        </w:rPr>
        <w:t>piekļūstamības</w:t>
      </w:r>
      <w:proofErr w:type="spellEnd"/>
      <w:r w:rsidRPr="00605DAA">
        <w:rPr>
          <w:lang w:val="lv-LV"/>
        </w:rPr>
        <w:t xml:space="preserve"> ekspertu konsultācijām ES fondu projektu īstenošanas vietās</w:t>
      </w:r>
      <w:r w:rsidR="00E754F0">
        <w:rPr>
          <w:lang w:val="lv-LV"/>
        </w:rPr>
        <w:t>,</w:t>
      </w:r>
      <w:r w:rsidRPr="00605DAA">
        <w:rPr>
          <w:lang w:val="lv-LV"/>
        </w:rPr>
        <w:t xml:space="preserve"> </w:t>
      </w:r>
      <w:r w:rsidR="00E754F0">
        <w:rPr>
          <w:lang w:val="lv-LV"/>
        </w:rPr>
        <w:t>skatīt</w:t>
      </w:r>
      <w:r w:rsidR="00E754F0" w:rsidRPr="00605DAA">
        <w:rPr>
          <w:lang w:val="lv-LV"/>
        </w:rPr>
        <w:t xml:space="preserve"> </w:t>
      </w:r>
      <w:r w:rsidRPr="00605DAA">
        <w:rPr>
          <w:lang w:val="lv-LV"/>
        </w:rPr>
        <w:t>šeit</w:t>
      </w:r>
      <w:r>
        <w:t xml:space="preserve">: </w:t>
      </w:r>
      <w:hyperlink r:id="rId4" w:history="1">
        <w:r w:rsidRPr="00AB0441">
          <w:rPr>
            <w:rStyle w:val="Hyperlink"/>
            <w:lang w:val="lv-LV"/>
          </w:rPr>
          <w:t>https://www.lm.gov.lv/lv/gala-zinojums-par-vides-pieklustamibas-ekspertu-konsultacijam-es-fondu-projektu-istenosanas-vietas-03012022</w:t>
        </w:r>
      </w:hyperlink>
      <w:r w:rsidR="00E754F0">
        <w:rPr>
          <w:lang w:val="lv-LV"/>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70273"/>
    <w:multiLevelType w:val="hybridMultilevel"/>
    <w:tmpl w:val="D316AF04"/>
    <w:lvl w:ilvl="0" w:tplc="F7041364">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76B709EF"/>
    <w:multiLevelType w:val="hybridMultilevel"/>
    <w:tmpl w:val="98B84054"/>
    <w:lvl w:ilvl="0" w:tplc="396A059E">
      <w:numFmt w:val="bullet"/>
      <w:lvlText w:val="-"/>
      <w:lvlJc w:val="left"/>
      <w:pPr>
        <w:ind w:left="131" w:hanging="131"/>
      </w:pPr>
      <w:rPr>
        <w:rFonts w:ascii="Times New Roman" w:eastAsia="Times New Roman" w:hAnsi="Times New Roman" w:cs="Times New Roman" w:hint="default"/>
        <w:spacing w:val="0"/>
        <w:w w:val="100"/>
        <w:lang w:val="lv-LV" w:eastAsia="en-US" w:bidi="ar-SA"/>
      </w:rPr>
    </w:lvl>
    <w:lvl w:ilvl="1" w:tplc="EDB4BEAC">
      <w:numFmt w:val="bullet"/>
      <w:lvlText w:val="•"/>
      <w:lvlJc w:val="left"/>
      <w:pPr>
        <w:ind w:left="841" w:hanging="131"/>
      </w:pPr>
      <w:rPr>
        <w:rFonts w:hint="default"/>
        <w:lang w:val="lv-LV" w:eastAsia="en-US" w:bidi="ar-SA"/>
      </w:rPr>
    </w:lvl>
    <w:lvl w:ilvl="2" w:tplc="5FEA1E4C">
      <w:numFmt w:val="bullet"/>
      <w:lvlText w:val="•"/>
      <w:lvlJc w:val="left"/>
      <w:pPr>
        <w:ind w:left="2092" w:hanging="131"/>
      </w:pPr>
      <w:rPr>
        <w:rFonts w:hint="default"/>
        <w:lang w:val="lv-LV" w:eastAsia="en-US" w:bidi="ar-SA"/>
      </w:rPr>
    </w:lvl>
    <w:lvl w:ilvl="3" w:tplc="91469B62">
      <w:numFmt w:val="bullet"/>
      <w:lvlText w:val="•"/>
      <w:lvlJc w:val="left"/>
      <w:pPr>
        <w:ind w:left="3089" w:hanging="131"/>
      </w:pPr>
      <w:rPr>
        <w:rFonts w:hint="default"/>
        <w:lang w:val="lv-LV" w:eastAsia="en-US" w:bidi="ar-SA"/>
      </w:rPr>
    </w:lvl>
    <w:lvl w:ilvl="4" w:tplc="94B44C24">
      <w:numFmt w:val="bullet"/>
      <w:lvlText w:val="•"/>
      <w:lvlJc w:val="left"/>
      <w:pPr>
        <w:ind w:left="4085" w:hanging="131"/>
      </w:pPr>
      <w:rPr>
        <w:rFonts w:hint="default"/>
        <w:lang w:val="lv-LV" w:eastAsia="en-US" w:bidi="ar-SA"/>
      </w:rPr>
    </w:lvl>
    <w:lvl w:ilvl="5" w:tplc="512097CA">
      <w:numFmt w:val="bullet"/>
      <w:lvlText w:val="•"/>
      <w:lvlJc w:val="left"/>
      <w:pPr>
        <w:ind w:left="5082" w:hanging="131"/>
      </w:pPr>
      <w:rPr>
        <w:rFonts w:hint="default"/>
        <w:lang w:val="lv-LV" w:eastAsia="en-US" w:bidi="ar-SA"/>
      </w:rPr>
    </w:lvl>
    <w:lvl w:ilvl="6" w:tplc="AF5E24D4">
      <w:numFmt w:val="bullet"/>
      <w:lvlText w:val="•"/>
      <w:lvlJc w:val="left"/>
      <w:pPr>
        <w:ind w:left="6078" w:hanging="131"/>
      </w:pPr>
      <w:rPr>
        <w:rFonts w:hint="default"/>
        <w:lang w:val="lv-LV" w:eastAsia="en-US" w:bidi="ar-SA"/>
      </w:rPr>
    </w:lvl>
    <w:lvl w:ilvl="7" w:tplc="40E61FCE">
      <w:numFmt w:val="bullet"/>
      <w:lvlText w:val="•"/>
      <w:lvlJc w:val="left"/>
      <w:pPr>
        <w:ind w:left="7075" w:hanging="131"/>
      </w:pPr>
      <w:rPr>
        <w:rFonts w:hint="default"/>
        <w:lang w:val="lv-LV" w:eastAsia="en-US" w:bidi="ar-SA"/>
      </w:rPr>
    </w:lvl>
    <w:lvl w:ilvl="8" w:tplc="79E26DB8">
      <w:numFmt w:val="bullet"/>
      <w:lvlText w:val="•"/>
      <w:lvlJc w:val="left"/>
      <w:pPr>
        <w:ind w:left="8071" w:hanging="131"/>
      </w:pPr>
      <w:rPr>
        <w:rFonts w:hint="default"/>
        <w:lang w:val="lv-LV"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D84"/>
    <w:rsid w:val="00112B24"/>
    <w:rsid w:val="00113CFC"/>
    <w:rsid w:val="0013693A"/>
    <w:rsid w:val="00194FCB"/>
    <w:rsid w:val="003E736B"/>
    <w:rsid w:val="00455097"/>
    <w:rsid w:val="00485040"/>
    <w:rsid w:val="0050249C"/>
    <w:rsid w:val="005F6DEA"/>
    <w:rsid w:val="006656C9"/>
    <w:rsid w:val="00692075"/>
    <w:rsid w:val="006E02F6"/>
    <w:rsid w:val="00736843"/>
    <w:rsid w:val="007B6D40"/>
    <w:rsid w:val="00872470"/>
    <w:rsid w:val="00964144"/>
    <w:rsid w:val="009A52A0"/>
    <w:rsid w:val="009B1F9E"/>
    <w:rsid w:val="00A7008D"/>
    <w:rsid w:val="00AA632C"/>
    <w:rsid w:val="00B243FF"/>
    <w:rsid w:val="00E754F0"/>
    <w:rsid w:val="00EE229E"/>
    <w:rsid w:val="00F41D84"/>
    <w:rsid w:val="00F64530"/>
    <w:rsid w:val="00F913F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90297"/>
  <w15:chartTrackingRefBased/>
  <w15:docId w15:val="{328BC537-19B5-4B83-AEF1-A88E64E88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1D84"/>
    <w:pPr>
      <w:spacing w:after="0"/>
      <w:ind w:left="102" w:right="57"/>
      <w:jc w:val="both"/>
    </w:pPr>
    <w:rPr>
      <w:rFonts w:ascii="Times New Roman" w:hAnsi="Times New Roman" w:cs="Times New Roman"/>
      <w:sz w:val="24"/>
      <w:szCs w:val="24"/>
      <w:lang w:val="en-US"/>
    </w:rPr>
  </w:style>
  <w:style w:type="paragraph" w:styleId="Heading1">
    <w:name w:val="heading 1"/>
    <w:basedOn w:val="Normal"/>
    <w:link w:val="Heading1Char"/>
    <w:uiPriority w:val="9"/>
    <w:qFormat/>
    <w:rsid w:val="00F41D84"/>
    <w:pPr>
      <w:spacing w:before="157"/>
      <w:ind w:left="9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D84"/>
    <w:rPr>
      <w:rFonts w:ascii="Times New Roman" w:hAnsi="Times New Roman" w:cs="Times New Roman"/>
      <w:b/>
      <w:bCs/>
      <w:sz w:val="24"/>
      <w:szCs w:val="24"/>
      <w:lang w:val="en-US"/>
    </w:rPr>
  </w:style>
  <w:style w:type="paragraph" w:styleId="BodyText">
    <w:name w:val="Body Text"/>
    <w:basedOn w:val="Normal"/>
    <w:link w:val="BodyTextChar"/>
    <w:uiPriority w:val="1"/>
    <w:qFormat/>
    <w:rsid w:val="00F41D84"/>
  </w:style>
  <w:style w:type="character" w:customStyle="1" w:styleId="BodyTextChar">
    <w:name w:val="Body Text Char"/>
    <w:basedOn w:val="DefaultParagraphFont"/>
    <w:link w:val="BodyText"/>
    <w:uiPriority w:val="1"/>
    <w:rsid w:val="00F41D84"/>
    <w:rPr>
      <w:rFonts w:ascii="Times New Roman" w:hAnsi="Times New Roman" w:cs="Times New Roman"/>
      <w:sz w:val="24"/>
      <w:szCs w:val="24"/>
      <w:lang w:val="en-US"/>
    </w:rPr>
  </w:style>
  <w:style w:type="paragraph" w:styleId="ListParagraph">
    <w:name w:val="List Paragraph"/>
    <w:basedOn w:val="Normal"/>
    <w:uiPriority w:val="1"/>
    <w:qFormat/>
    <w:rsid w:val="00F41D84"/>
    <w:pPr>
      <w:ind w:left="100" w:right="276"/>
    </w:pPr>
  </w:style>
  <w:style w:type="character" w:styleId="CommentReference">
    <w:name w:val="annotation reference"/>
    <w:basedOn w:val="DefaultParagraphFont"/>
    <w:uiPriority w:val="99"/>
    <w:semiHidden/>
    <w:unhideWhenUsed/>
    <w:rsid w:val="00F41D84"/>
    <w:rPr>
      <w:sz w:val="16"/>
      <w:szCs w:val="16"/>
    </w:rPr>
  </w:style>
  <w:style w:type="paragraph" w:styleId="CommentText">
    <w:name w:val="annotation text"/>
    <w:basedOn w:val="Normal"/>
    <w:link w:val="CommentTextChar"/>
    <w:uiPriority w:val="99"/>
    <w:semiHidden/>
    <w:unhideWhenUsed/>
    <w:rsid w:val="00F41D84"/>
    <w:rPr>
      <w:sz w:val="20"/>
      <w:szCs w:val="20"/>
    </w:rPr>
  </w:style>
  <w:style w:type="character" w:customStyle="1" w:styleId="CommentTextChar">
    <w:name w:val="Comment Text Char"/>
    <w:basedOn w:val="DefaultParagraphFont"/>
    <w:link w:val="CommentText"/>
    <w:uiPriority w:val="99"/>
    <w:semiHidden/>
    <w:rsid w:val="00F41D84"/>
    <w:rPr>
      <w:rFonts w:ascii="Times New Roman" w:hAnsi="Times New Roman" w:cs="Times New Roman"/>
      <w:sz w:val="20"/>
      <w:szCs w:val="20"/>
      <w:lang w:val="en-US"/>
    </w:rPr>
  </w:style>
  <w:style w:type="character" w:styleId="Hyperlink">
    <w:name w:val="Hyperlink"/>
    <w:basedOn w:val="DefaultParagraphFont"/>
    <w:uiPriority w:val="99"/>
    <w:unhideWhenUsed/>
    <w:rsid w:val="00F41D84"/>
    <w:rPr>
      <w:color w:val="0563C1" w:themeColor="hyperlink"/>
      <w:u w:val="single"/>
    </w:rPr>
  </w:style>
  <w:style w:type="paragraph" w:styleId="FootnoteText">
    <w:name w:val="footnote text"/>
    <w:basedOn w:val="Normal"/>
    <w:link w:val="FootnoteTextChar"/>
    <w:uiPriority w:val="99"/>
    <w:semiHidden/>
    <w:unhideWhenUsed/>
    <w:rsid w:val="00F41D84"/>
    <w:rPr>
      <w:sz w:val="20"/>
      <w:szCs w:val="20"/>
    </w:rPr>
  </w:style>
  <w:style w:type="character" w:customStyle="1" w:styleId="FootnoteTextChar">
    <w:name w:val="Footnote Text Char"/>
    <w:basedOn w:val="DefaultParagraphFont"/>
    <w:link w:val="FootnoteText"/>
    <w:uiPriority w:val="99"/>
    <w:semiHidden/>
    <w:rsid w:val="00F41D84"/>
    <w:rPr>
      <w:rFonts w:ascii="Times New Roman" w:hAnsi="Times New Roman" w:cs="Times New Roman"/>
      <w:sz w:val="20"/>
      <w:szCs w:val="20"/>
      <w:lang w:val="en-US"/>
    </w:rPr>
  </w:style>
  <w:style w:type="character" w:styleId="FootnoteReference">
    <w:name w:val="footnote reference"/>
    <w:aliases w:val="Footnote symbol,Footnote Reference Number,Footnote Reference Superscript,Footnote Refernece,ftref,Odwołanie przypisu,BVI fnr,Footnotes refss,SUPERS,Ref,de nota al pie,-E Fußnotenzeichen,Footnote reference number,Times 10 Point,E,E FNZ"/>
    <w:basedOn w:val="DefaultParagraphFont"/>
    <w:link w:val="FootnotesymbolCharChar"/>
    <w:uiPriority w:val="99"/>
    <w:unhideWhenUsed/>
    <w:qFormat/>
    <w:rsid w:val="00F41D84"/>
    <w:rPr>
      <w:vertAlign w:val="superscript"/>
    </w:rPr>
  </w:style>
  <w:style w:type="paragraph" w:customStyle="1" w:styleId="FootnotesymbolCharChar">
    <w:name w:val="Footnote symbol Char Char"/>
    <w:aliases w:val="Footnote Reference Number Char Char,Footnote Reference Superscript Char Char,Footnote Refernece Char Char,ftref Char Char,Odwołanie przypisu Char Char,BVI fnr Char Char,Footnotes refss Char Char,Ref Char Char"/>
    <w:basedOn w:val="Normal"/>
    <w:link w:val="FootnoteReference"/>
    <w:uiPriority w:val="99"/>
    <w:rsid w:val="00F41D84"/>
    <w:pPr>
      <w:spacing w:after="160" w:line="240" w:lineRule="exact"/>
    </w:pPr>
    <w:rPr>
      <w:rFonts w:asciiTheme="minorHAnsi" w:hAnsiTheme="minorHAnsi" w:cstheme="minorBidi"/>
      <w:sz w:val="22"/>
      <w:szCs w:val="22"/>
      <w:vertAlign w:val="superscript"/>
      <w:lang w:val="lv-LV"/>
    </w:rPr>
  </w:style>
  <w:style w:type="paragraph" w:styleId="BalloonText">
    <w:name w:val="Balloon Text"/>
    <w:basedOn w:val="Normal"/>
    <w:link w:val="BalloonTextChar"/>
    <w:uiPriority w:val="99"/>
    <w:semiHidden/>
    <w:unhideWhenUsed/>
    <w:rsid w:val="00F41D8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D84"/>
    <w:rPr>
      <w:rFonts w:ascii="Segoe UI" w:hAnsi="Segoe UI" w:cs="Segoe UI"/>
      <w:sz w:val="18"/>
      <w:szCs w:val="18"/>
      <w:lang w:val="en-US"/>
    </w:rPr>
  </w:style>
  <w:style w:type="character" w:styleId="UnresolvedMention">
    <w:name w:val="Unresolved Mention"/>
    <w:basedOn w:val="DefaultParagraphFont"/>
    <w:uiPriority w:val="99"/>
    <w:semiHidden/>
    <w:unhideWhenUsed/>
    <w:rsid w:val="0069207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64530"/>
    <w:pPr>
      <w:spacing w:line="240" w:lineRule="auto"/>
    </w:pPr>
    <w:rPr>
      <w:b/>
      <w:bCs/>
    </w:rPr>
  </w:style>
  <w:style w:type="character" w:customStyle="1" w:styleId="CommentSubjectChar">
    <w:name w:val="Comment Subject Char"/>
    <w:basedOn w:val="CommentTextChar"/>
    <w:link w:val="CommentSubject"/>
    <w:uiPriority w:val="99"/>
    <w:semiHidden/>
    <w:rsid w:val="00F64530"/>
    <w:rPr>
      <w:rFonts w:ascii="Times New Roman" w:hAnsi="Times New Roman" w:cs="Times New Roman"/>
      <w:b/>
      <w:bCs/>
      <w:sz w:val="20"/>
      <w:szCs w:val="20"/>
      <w:lang w:val="en-US"/>
    </w:rPr>
  </w:style>
  <w:style w:type="paragraph" w:styleId="Header">
    <w:name w:val="header"/>
    <w:basedOn w:val="Normal"/>
    <w:link w:val="HeaderChar"/>
    <w:uiPriority w:val="99"/>
    <w:unhideWhenUsed/>
    <w:rsid w:val="00EE229E"/>
    <w:pPr>
      <w:tabs>
        <w:tab w:val="center" w:pos="4153"/>
        <w:tab w:val="right" w:pos="8306"/>
      </w:tabs>
      <w:spacing w:line="240" w:lineRule="auto"/>
    </w:pPr>
  </w:style>
  <w:style w:type="character" w:customStyle="1" w:styleId="HeaderChar">
    <w:name w:val="Header Char"/>
    <w:basedOn w:val="DefaultParagraphFont"/>
    <w:link w:val="Header"/>
    <w:uiPriority w:val="99"/>
    <w:rsid w:val="00EE229E"/>
    <w:rPr>
      <w:rFonts w:ascii="Times New Roman" w:hAnsi="Times New Roman" w:cs="Times New Roman"/>
      <w:sz w:val="24"/>
      <w:szCs w:val="24"/>
      <w:lang w:val="en-US"/>
    </w:rPr>
  </w:style>
  <w:style w:type="paragraph" w:styleId="Footer">
    <w:name w:val="footer"/>
    <w:basedOn w:val="Normal"/>
    <w:link w:val="FooterChar"/>
    <w:uiPriority w:val="99"/>
    <w:unhideWhenUsed/>
    <w:rsid w:val="00EE229E"/>
    <w:pPr>
      <w:tabs>
        <w:tab w:val="center" w:pos="4153"/>
        <w:tab w:val="right" w:pos="8306"/>
      </w:tabs>
      <w:spacing w:line="240" w:lineRule="auto"/>
    </w:pPr>
  </w:style>
  <w:style w:type="character" w:customStyle="1" w:styleId="FooterChar">
    <w:name w:val="Footer Char"/>
    <w:basedOn w:val="DefaultParagraphFont"/>
    <w:link w:val="Footer"/>
    <w:uiPriority w:val="99"/>
    <w:rsid w:val="00EE229E"/>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tiesibsargs.lv/wp-content/uploads/2025/05/tiesibsarga_2024_gada_zinojums.pdf" TargetMode="External"/><Relationship Id="rId2" Type="http://schemas.openxmlformats.org/officeDocument/2006/relationships/hyperlink" Target="https://www.tiesibsargs.lv/wp-content/uploads/2024/08/timeklvietnu_pieklustamiba_tehniska_analize.pdf" TargetMode="External"/><Relationship Id="rId1" Type="http://schemas.openxmlformats.org/officeDocument/2006/relationships/hyperlink" Target="https://www.tiesibsargs.lv/resource/atzinums-parbaudes-lieta-nr-2022-55-26d-par-diskriminacijas-aizlieguma-parkapumu-dzimuma-del-eiropas-savienibas-strukturfondu-izlietojuma/" TargetMode="External"/><Relationship Id="rId4" Type="http://schemas.openxmlformats.org/officeDocument/2006/relationships/hyperlink" Target="https://www.lm.gov.lv/lv/gala-zinojums-par-vides-pieklustamibas-ekspertu-konsultacijam-es-fondu-projektu-istenosanas-vietas-0301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3414A-490F-496D-BCDB-BEE37BF8C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8551</Words>
  <Characters>4875</Characters>
  <Application>Microsoft Office Word</Application>
  <DocSecurity>0</DocSecurity>
  <Lines>40</Lines>
  <Paragraphs>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LM</Company>
  <LinksUpToDate>false</LinksUpToDate>
  <CharactersWithSpaces>13400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Jeļena Černiševa</dc:creator>
  <cp:keywords/>
  <dc:description/>
  <cp:lastModifiedBy>Inese Vilcāne</cp:lastModifiedBy>
  <cp:revision>2</cp:revision>
  <dcterms:created xsi:type="dcterms:W3CDTF">2025-09-30T11:10:00Z</dcterms:created>
  <dcterms:modified xsi:type="dcterms:W3CDTF">2025-09-30T11:10:00Z</dcterms:modified>
</cp:coreProperties>
</file>